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30AF" w:rsidRPr="008E30AF" w:rsidRDefault="008E30AF" w:rsidP="008E30AF">
      <w:pPr>
        <w:jc w:val="center"/>
        <w:rPr>
          <w:rFonts w:ascii="Minion Pro" w:eastAsia="Minion Pro" w:hAnsi="Minion Pro" w:cs="Minion Pro"/>
          <w:b/>
          <w:bCs/>
          <w:color w:val="337AB7"/>
          <w:sz w:val="36"/>
          <w:szCs w:val="36"/>
        </w:rPr>
      </w:pPr>
      <w:r w:rsidRPr="008E30AF">
        <w:rPr>
          <w:rFonts w:ascii="Minion Pro" w:eastAsia="Minion Pro" w:hAnsi="Minion Pro" w:cs="Minion Pro"/>
          <w:b/>
          <w:bCs/>
          <w:color w:val="337AB7"/>
          <w:sz w:val="36"/>
          <w:szCs w:val="36"/>
        </w:rPr>
        <w:t xml:space="preserve">Monitoring Folds and Strain </w:t>
      </w:r>
      <w:bookmarkStart w:id="0" w:name="_GoBack"/>
      <w:bookmarkEnd w:id="0"/>
      <w:r w:rsidRPr="008E30AF">
        <w:rPr>
          <w:rFonts w:ascii="Minion Pro" w:eastAsia="Minion Pro" w:hAnsi="Minion Pro" w:cs="Minion Pro"/>
          <w:b/>
          <w:bCs/>
          <w:color w:val="337AB7"/>
          <w:sz w:val="36"/>
          <w:szCs w:val="36"/>
        </w:rPr>
        <w:t xml:space="preserve">Localization in 2D Transition Metal Chalcogenides (TMDCs) using Second Harmonic Generation </w:t>
      </w:r>
    </w:p>
    <w:p w:rsidR="005973B9" w:rsidRDefault="008E30AF" w:rsidP="008E30AF">
      <w:pPr>
        <w:pStyle w:val="BodyText"/>
        <w:spacing w:before="73" w:line="198" w:lineRule="exact"/>
        <w:ind w:left="100" w:right="3177"/>
        <w:rPr>
          <w:rFonts w:ascii="Arial"/>
        </w:rPr>
      </w:pPr>
      <w:r>
        <w:rPr>
          <w:rFonts w:ascii="Arial"/>
        </w:rPr>
        <w:t>Ahmed Raza Khan,</w:t>
      </w:r>
      <w:r w:rsidR="005973B9">
        <w:rPr>
          <w:rFonts w:ascii="Arial"/>
        </w:rPr>
        <w:t xml:space="preserve"> PhD, </w:t>
      </w:r>
      <w:r>
        <w:rPr>
          <w:rFonts w:ascii="Arial"/>
        </w:rPr>
        <w:t>Australian National University</w:t>
      </w:r>
      <w:r w:rsidR="005973B9">
        <w:rPr>
          <w:rFonts w:ascii="Arial"/>
        </w:rPr>
        <w:t>,</w:t>
      </w:r>
      <w:r>
        <w:rPr>
          <w:rFonts w:ascii="Arial"/>
        </w:rPr>
        <w:t xml:space="preserve"> Australia</w:t>
      </w:r>
    </w:p>
    <w:p w:rsidR="00AE3E37" w:rsidRPr="008E30AF" w:rsidRDefault="008E30AF">
      <w:pPr>
        <w:pStyle w:val="BodyText"/>
        <w:rPr>
          <w:rFonts w:ascii="Arial"/>
        </w:rPr>
      </w:pPr>
      <w:r w:rsidRPr="008E30AF">
        <w:rPr>
          <w:rFonts w:ascii="Arial"/>
        </w:rPr>
        <w:t xml:space="preserve">  Yuerui Lu, A/Professor, </w:t>
      </w:r>
      <w:r>
        <w:rPr>
          <w:rFonts w:ascii="Arial"/>
        </w:rPr>
        <w:t>Australian National University, Australia</w:t>
      </w:r>
    </w:p>
    <w:p w:rsidR="00AE3E37" w:rsidRDefault="00AE3E37">
      <w:pPr>
        <w:pStyle w:val="BodyText"/>
        <w:spacing w:before="3"/>
        <w:rPr>
          <w:rFonts w:ascii="Arial"/>
          <w:sz w:val="21"/>
        </w:rPr>
      </w:pPr>
    </w:p>
    <w:p w:rsidR="00AE3E37" w:rsidRDefault="00AE3E37">
      <w:pPr>
        <w:rPr>
          <w:rFonts w:ascii="Arial"/>
          <w:sz w:val="21"/>
        </w:rPr>
        <w:sectPr w:rsidR="00AE3E37" w:rsidSect="007D3A55">
          <w:headerReference w:type="default" r:id="rId8"/>
          <w:footerReference w:type="default" r:id="rId9"/>
          <w:type w:val="continuous"/>
          <w:pgSz w:w="11910" w:h="16840"/>
          <w:pgMar w:top="1740" w:right="600" w:bottom="840" w:left="620" w:header="541" w:footer="642" w:gutter="0"/>
          <w:cols w:space="720"/>
        </w:sectPr>
      </w:pPr>
    </w:p>
    <w:p w:rsidR="00AE3E37" w:rsidRDefault="00A9710C" w:rsidP="00292FA4">
      <w:pPr>
        <w:pStyle w:val="Heading3"/>
        <w:spacing w:before="147"/>
        <w:ind w:left="142"/>
        <w:jc w:val="both"/>
      </w:pPr>
      <w:r>
        <w:rPr>
          <w:color w:val="BF5A14"/>
        </w:rPr>
        <w:lastRenderedPageBreak/>
        <w:t>Abstract</w:t>
      </w:r>
      <w:r w:rsidR="00404E5B">
        <w:rPr>
          <w:color w:val="BF5A14"/>
        </w:rPr>
        <w:t xml:space="preserve"> </w:t>
      </w:r>
    </w:p>
    <w:p w:rsidR="00292FA4" w:rsidRPr="00292FA4" w:rsidRDefault="00292FA4" w:rsidP="00292FA4">
      <w:pPr>
        <w:autoSpaceDE w:val="0"/>
        <w:autoSpaceDN w:val="0"/>
        <w:adjustRightInd w:val="0"/>
        <w:ind w:left="142"/>
        <w:jc w:val="both"/>
        <w:rPr>
          <w:sz w:val="18"/>
          <w:szCs w:val="18"/>
        </w:rPr>
      </w:pPr>
      <w:r w:rsidRPr="00292FA4">
        <w:rPr>
          <w:sz w:val="18"/>
          <w:szCs w:val="18"/>
        </w:rPr>
        <w:t xml:space="preserve">Folding and local strain engineering are extensively applied to alter the optoelectronic properties of 2D materials such as interlayer coupling, bandgap, etc. Optical techniques such as PL, Raman were used in the past to probe the folds and strain localization. Here, we show that optical second harmonic generation (SHG), which is sensitive to the crystalline symmetry of 2D </w:t>
      </w:r>
      <w:r w:rsidRPr="00292FA4">
        <w:rPr>
          <w:sz w:val="18"/>
          <w:szCs w:val="18"/>
        </w:rPr>
        <w:t>materials,</w:t>
      </w:r>
      <w:r w:rsidRPr="00292FA4">
        <w:rPr>
          <w:sz w:val="18"/>
          <w:szCs w:val="18"/>
        </w:rPr>
        <w:t xml:space="preserve"> is a powerful tool to monitor the folds and strain localization in 2D Transition Metal </w:t>
      </w:r>
      <w:proofErr w:type="spellStart"/>
      <w:r w:rsidRPr="00292FA4">
        <w:rPr>
          <w:sz w:val="18"/>
          <w:szCs w:val="18"/>
        </w:rPr>
        <w:t>Dichalcogenids</w:t>
      </w:r>
      <w:proofErr w:type="spellEnd"/>
      <w:r w:rsidRPr="00292FA4">
        <w:rPr>
          <w:sz w:val="18"/>
          <w:szCs w:val="18"/>
        </w:rPr>
        <w:t xml:space="preserve"> (TMDCs). </w:t>
      </w:r>
      <w:r>
        <w:rPr>
          <w:sz w:val="18"/>
          <w:szCs w:val="18"/>
        </w:rPr>
        <w:t>2D TMDCs are well-suited for the</w:t>
      </w:r>
      <w:r w:rsidRPr="00292FA4">
        <w:rPr>
          <w:sz w:val="18"/>
          <w:szCs w:val="18"/>
        </w:rPr>
        <w:t xml:space="preserve"> purpose because of their mechanical properties suitable for straining and folding suc</w:t>
      </w:r>
      <w:r>
        <w:rPr>
          <w:sz w:val="18"/>
          <w:szCs w:val="18"/>
        </w:rPr>
        <w:t>h</w:t>
      </w:r>
      <w:r w:rsidRPr="00292FA4">
        <w:rPr>
          <w:sz w:val="18"/>
          <w:szCs w:val="18"/>
        </w:rPr>
        <w:t xml:space="preserve"> as 2D TMDCs can be folded due to their high flexibility, in addition, they have good rupture strength. Our study includes the fabrication process of clean folds and strained wrinkles on ultra-thin layers of TMDCs and then their optical characterization using SHG imaging. The SHG from a fold is a coherent superposition of the SHG from the individual layers of the fold, whereas, strain results in the distortion of the SHG polar plot. We explain our results using superposition and photo-elastic principles. Our results show SHG as a powerful approach to investigate folds and local strain localization in 2D materials. </w:t>
      </w:r>
    </w:p>
    <w:p w:rsidR="00292FA4" w:rsidRDefault="00292FA4">
      <w:pPr>
        <w:pStyle w:val="BodyText"/>
        <w:spacing w:before="90" w:line="280" w:lineRule="auto"/>
        <w:ind w:left="100"/>
        <w:jc w:val="both"/>
      </w:pPr>
    </w:p>
    <w:p w:rsidR="007D3A55" w:rsidRDefault="00A9710C" w:rsidP="00292FA4">
      <w:pPr>
        <w:pStyle w:val="Heading3"/>
        <w:spacing w:before="74"/>
        <w:ind w:left="142"/>
        <w:rPr>
          <w:color w:val="BF5A14"/>
        </w:rPr>
      </w:pPr>
      <w:r>
        <w:rPr>
          <w:color w:val="BF5A14"/>
        </w:rPr>
        <w:t>Image</w:t>
      </w:r>
    </w:p>
    <w:p w:rsidR="007D3A55" w:rsidRPr="007D3A55" w:rsidRDefault="00292FA4" w:rsidP="00292FA4">
      <w:pPr>
        <w:pStyle w:val="Heading3"/>
        <w:spacing w:before="74"/>
        <w:ind w:left="0"/>
        <w:jc w:val="center"/>
        <w:rPr>
          <w:color w:val="BF5A14"/>
        </w:rPr>
      </w:pPr>
      <w:r>
        <w:rPr>
          <w:noProof/>
          <w:sz w:val="22"/>
          <w:szCs w:val="22"/>
          <w:lang w:val="en-AU" w:eastAsia="en-AU"/>
        </w:rPr>
        <w:drawing>
          <wp:inline distT="0" distB="0" distL="0" distR="0">
            <wp:extent cx="2508488" cy="1400574"/>
            <wp:effectExtent l="0" t="0" r="6350" b="9525"/>
            <wp:docPr id="2" name="Picture 2" descr="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8530"/>
                    <a:stretch/>
                  </pic:blipFill>
                  <pic:spPr bwMode="auto">
                    <a:xfrm>
                      <a:off x="0" y="0"/>
                      <a:ext cx="2508372" cy="1400509"/>
                    </a:xfrm>
                    <a:prstGeom prst="rect">
                      <a:avLst/>
                    </a:prstGeom>
                    <a:noFill/>
                    <a:ln>
                      <a:noFill/>
                    </a:ln>
                    <a:extLst>
                      <a:ext uri="{53640926-AAD7-44D8-BBD7-CCE9431645EC}">
                        <a14:shadowObscured xmlns:a14="http://schemas.microsoft.com/office/drawing/2010/main"/>
                      </a:ext>
                    </a:extLst>
                  </pic:spPr>
                </pic:pic>
              </a:graphicData>
            </a:graphic>
          </wp:inline>
        </w:drawing>
      </w:r>
    </w:p>
    <w:p w:rsidR="00AE3E37" w:rsidRDefault="00AE3E37" w:rsidP="007D3A55">
      <w:pPr>
        <w:pStyle w:val="BodyText"/>
        <w:spacing w:before="2"/>
        <w:jc w:val="center"/>
        <w:rPr>
          <w:rFonts w:ascii="Arial"/>
          <w:b/>
          <w:sz w:val="16"/>
        </w:rPr>
      </w:pPr>
    </w:p>
    <w:p w:rsidR="007D3A55" w:rsidRDefault="007D3A55" w:rsidP="00292FA4">
      <w:pPr>
        <w:spacing w:line="204" w:lineRule="exact"/>
        <w:ind w:left="142"/>
        <w:rPr>
          <w:rFonts w:ascii="Arial"/>
          <w:b/>
          <w:color w:val="BF5A14"/>
          <w:sz w:val="20"/>
        </w:rPr>
      </w:pPr>
    </w:p>
    <w:p w:rsidR="005973B9" w:rsidRDefault="005973B9" w:rsidP="00292FA4">
      <w:pPr>
        <w:spacing w:line="204" w:lineRule="exact"/>
        <w:ind w:left="142"/>
        <w:rPr>
          <w:rFonts w:ascii="Arial"/>
          <w:b/>
          <w:sz w:val="20"/>
        </w:rPr>
      </w:pPr>
      <w:r>
        <w:rPr>
          <w:rFonts w:ascii="Arial"/>
          <w:b/>
          <w:color w:val="BF5A14"/>
          <w:sz w:val="20"/>
        </w:rPr>
        <w:t xml:space="preserve">Recent Publications </w:t>
      </w:r>
    </w:p>
    <w:p w:rsidR="008E30AF" w:rsidRPr="008E30AF" w:rsidRDefault="008E30AF" w:rsidP="008E30AF">
      <w:pPr>
        <w:pStyle w:val="ListParagraphPHPDOCX"/>
        <w:numPr>
          <w:ilvl w:val="0"/>
          <w:numId w:val="3"/>
        </w:numPr>
        <w:spacing w:after="120" w:line="240" w:lineRule="auto"/>
        <w:jc w:val="both"/>
        <w:rPr>
          <w:rFonts w:ascii="Calibri" w:eastAsia="Calibri" w:hAnsi="Calibri" w:cs="Calibri"/>
          <w:sz w:val="18"/>
          <w:lang w:val="en-US" w:eastAsia="en-US"/>
        </w:rPr>
      </w:pPr>
      <w:r w:rsidRPr="008E30AF">
        <w:rPr>
          <w:rFonts w:ascii="Calibri" w:eastAsia="Calibri" w:hAnsi="Calibri" w:cs="Calibri"/>
          <w:sz w:val="18"/>
          <w:lang w:val="en-US" w:eastAsia="en-US"/>
        </w:rPr>
        <w:t xml:space="preserve">Ahmed Raza Khan, </w:t>
      </w:r>
      <w:proofErr w:type="spellStart"/>
      <w:r w:rsidRPr="008E30AF">
        <w:rPr>
          <w:rFonts w:ascii="Calibri" w:eastAsia="Calibri" w:hAnsi="Calibri" w:cs="Calibri"/>
          <w:sz w:val="18"/>
          <w:lang w:val="en-US" w:eastAsia="en-US"/>
        </w:rPr>
        <w:t>Boqing</w:t>
      </w:r>
      <w:proofErr w:type="spellEnd"/>
      <w:r w:rsidRPr="008E30AF">
        <w:rPr>
          <w:rFonts w:ascii="Calibri" w:eastAsia="Calibri" w:hAnsi="Calibri" w:cs="Calibri"/>
          <w:sz w:val="18"/>
          <w:lang w:val="en-US" w:eastAsia="en-US"/>
        </w:rPr>
        <w:t xml:space="preserve"> Liu, </w:t>
      </w:r>
      <w:proofErr w:type="spellStart"/>
      <w:r w:rsidRPr="008E30AF">
        <w:rPr>
          <w:rFonts w:ascii="Calibri" w:eastAsia="Calibri" w:hAnsi="Calibri" w:cs="Calibri"/>
          <w:sz w:val="18"/>
          <w:lang w:val="en-US" w:eastAsia="en-US"/>
        </w:rPr>
        <w:t>Ankur</w:t>
      </w:r>
      <w:proofErr w:type="spellEnd"/>
      <w:r w:rsidRPr="008E30AF">
        <w:rPr>
          <w:rFonts w:ascii="Calibri" w:eastAsia="Calibri" w:hAnsi="Calibri" w:cs="Calibri"/>
          <w:sz w:val="18"/>
          <w:lang w:val="en-US" w:eastAsia="en-US"/>
        </w:rPr>
        <w:t xml:space="preserve"> Sharma and Yuerui Lu, “Investigating Folds and Strain Localization in Atomically thin WS2 using Second Harmonic Generation”, ready to be submitted in Nano-letters, 2019</w:t>
      </w:r>
    </w:p>
    <w:p w:rsidR="008E30AF" w:rsidRPr="008E30AF" w:rsidRDefault="008E30AF" w:rsidP="008E30AF">
      <w:pPr>
        <w:pStyle w:val="ListParagraphPHPDOCX"/>
        <w:numPr>
          <w:ilvl w:val="0"/>
          <w:numId w:val="3"/>
        </w:numPr>
        <w:spacing w:after="120" w:line="240" w:lineRule="auto"/>
        <w:jc w:val="both"/>
        <w:rPr>
          <w:rFonts w:ascii="Calibri" w:eastAsia="Calibri" w:hAnsi="Calibri" w:cs="Calibri"/>
          <w:sz w:val="18"/>
          <w:lang w:val="en-US" w:eastAsia="en-US"/>
        </w:rPr>
      </w:pPr>
      <w:r w:rsidRPr="008E30AF">
        <w:rPr>
          <w:rFonts w:ascii="Calibri" w:eastAsia="Calibri" w:hAnsi="Calibri" w:cs="Calibri"/>
          <w:sz w:val="18"/>
          <w:lang w:val="en-US" w:eastAsia="en-US"/>
        </w:rPr>
        <w:t xml:space="preserve">Ahmed Raza Khan, </w:t>
      </w:r>
      <w:proofErr w:type="spellStart"/>
      <w:r w:rsidRPr="008E30AF">
        <w:rPr>
          <w:rFonts w:ascii="Calibri" w:eastAsia="Calibri" w:hAnsi="Calibri" w:cs="Calibri"/>
          <w:sz w:val="18"/>
          <w:lang w:val="en-US" w:eastAsia="en-US"/>
        </w:rPr>
        <w:t>Teng</w:t>
      </w:r>
      <w:proofErr w:type="spellEnd"/>
      <w:r w:rsidRPr="008E30AF">
        <w:rPr>
          <w:rFonts w:ascii="Calibri" w:eastAsia="Calibri" w:hAnsi="Calibri" w:cs="Calibri"/>
          <w:sz w:val="18"/>
          <w:lang w:val="en-US" w:eastAsia="en-US"/>
        </w:rPr>
        <w:t xml:space="preserve"> Lu, Yun Liu, Yuerui Lu, “</w:t>
      </w:r>
      <w:proofErr w:type="spellStart"/>
      <w:r w:rsidRPr="008E30AF">
        <w:rPr>
          <w:rFonts w:ascii="Calibri" w:eastAsia="Calibri" w:hAnsi="Calibri" w:cs="Calibri"/>
          <w:sz w:val="18"/>
          <w:lang w:val="en-US" w:eastAsia="en-US"/>
        </w:rPr>
        <w:t>Tunable</w:t>
      </w:r>
      <w:proofErr w:type="spellEnd"/>
      <w:r w:rsidRPr="008E30AF">
        <w:rPr>
          <w:rFonts w:ascii="Calibri" w:eastAsia="Calibri" w:hAnsi="Calibri" w:cs="Calibri"/>
          <w:sz w:val="18"/>
          <w:lang w:val="en-US" w:eastAsia="en-US"/>
        </w:rPr>
        <w:t xml:space="preserve"> Optoelectronic Properties of WS2 using Local Strain Engineering and Folding”, ready to be submitted in ACS Nano, 2019</w:t>
      </w:r>
    </w:p>
    <w:p w:rsidR="008E30AF" w:rsidRPr="008E30AF" w:rsidRDefault="008E30AF" w:rsidP="008E30AF">
      <w:pPr>
        <w:pStyle w:val="ListParagraphPHPDOCX"/>
        <w:numPr>
          <w:ilvl w:val="0"/>
          <w:numId w:val="3"/>
        </w:numPr>
        <w:spacing w:after="120" w:line="240" w:lineRule="auto"/>
        <w:jc w:val="both"/>
        <w:rPr>
          <w:rFonts w:ascii="Calibri" w:eastAsia="Calibri" w:hAnsi="Calibri" w:cs="Calibri"/>
          <w:sz w:val="18"/>
          <w:lang w:val="en-US" w:eastAsia="en-US"/>
        </w:rPr>
      </w:pPr>
      <w:proofErr w:type="spellStart"/>
      <w:r w:rsidRPr="008E30AF">
        <w:rPr>
          <w:rFonts w:ascii="Calibri" w:eastAsia="Calibri" w:hAnsi="Calibri" w:cs="Calibri"/>
          <w:sz w:val="18"/>
          <w:lang w:val="en-US" w:eastAsia="en-US"/>
        </w:rPr>
        <w:t>Ankur</w:t>
      </w:r>
      <w:proofErr w:type="spellEnd"/>
      <w:r w:rsidRPr="008E30AF">
        <w:rPr>
          <w:rFonts w:ascii="Calibri" w:eastAsia="Calibri" w:hAnsi="Calibri" w:cs="Calibri"/>
          <w:sz w:val="18"/>
          <w:lang w:val="en-US" w:eastAsia="en-US"/>
        </w:rPr>
        <w:t xml:space="preserve"> Sharma, Ahmed Raza Khan, Yi Zhu, Yuerui Lu, “Quasi-line spectral emissions from high crystalline 1D Organic Nanowires”, Nano-letters (in review), 2019</w:t>
      </w:r>
    </w:p>
    <w:p w:rsidR="008E30AF" w:rsidRPr="008E30AF" w:rsidRDefault="008E30AF" w:rsidP="008E30AF">
      <w:pPr>
        <w:pStyle w:val="ListParagraphPHPDOCX"/>
        <w:numPr>
          <w:ilvl w:val="0"/>
          <w:numId w:val="3"/>
        </w:numPr>
        <w:spacing w:after="120" w:line="240" w:lineRule="auto"/>
        <w:jc w:val="both"/>
        <w:rPr>
          <w:rFonts w:ascii="Calibri" w:eastAsia="Calibri" w:hAnsi="Calibri" w:cs="Calibri"/>
          <w:sz w:val="18"/>
          <w:lang w:val="en-US" w:eastAsia="en-US"/>
        </w:rPr>
      </w:pPr>
      <w:r w:rsidRPr="008E30AF">
        <w:rPr>
          <w:rFonts w:ascii="Calibri" w:eastAsia="Calibri" w:hAnsi="Calibri" w:cs="Calibri"/>
          <w:sz w:val="18"/>
          <w:lang w:val="en-US" w:eastAsia="en-US"/>
        </w:rPr>
        <w:t xml:space="preserve">M. </w:t>
      </w:r>
      <w:proofErr w:type="spellStart"/>
      <w:r w:rsidRPr="008E30AF">
        <w:rPr>
          <w:rFonts w:ascii="Calibri" w:eastAsia="Calibri" w:hAnsi="Calibri" w:cs="Calibri"/>
          <w:sz w:val="18"/>
          <w:lang w:val="en-US" w:eastAsia="en-US"/>
        </w:rPr>
        <w:t>Qaiser</w:t>
      </w:r>
      <w:proofErr w:type="spellEnd"/>
      <w:r w:rsidRPr="008E30AF">
        <w:rPr>
          <w:rFonts w:ascii="Calibri" w:eastAsia="Calibri" w:hAnsi="Calibri" w:cs="Calibri"/>
          <w:sz w:val="18"/>
          <w:lang w:val="en-US" w:eastAsia="en-US"/>
        </w:rPr>
        <w:t xml:space="preserve"> </w:t>
      </w:r>
      <w:proofErr w:type="spellStart"/>
      <w:r w:rsidRPr="008E30AF">
        <w:rPr>
          <w:rFonts w:ascii="Calibri" w:eastAsia="Calibri" w:hAnsi="Calibri" w:cs="Calibri"/>
          <w:sz w:val="18"/>
          <w:lang w:val="en-US" w:eastAsia="en-US"/>
        </w:rPr>
        <w:t>Saleem</w:t>
      </w:r>
      <w:proofErr w:type="spellEnd"/>
      <w:r w:rsidRPr="008E30AF">
        <w:rPr>
          <w:rFonts w:ascii="Calibri" w:eastAsia="Calibri" w:hAnsi="Calibri" w:cs="Calibri"/>
          <w:sz w:val="18"/>
          <w:lang w:val="en-US" w:eastAsia="en-US"/>
        </w:rPr>
        <w:t>, Ahmed Raza Khan, Nadeem Ahmad Mufti, “Performance Optimization of Electrical Discharge Machining (Die Sinker) for Al-6061 via Taguchi Approach, Mehran University Research Journal of Engineering and Technology, 34 (2), 2015.</w:t>
      </w:r>
    </w:p>
    <w:p w:rsidR="008E30AF" w:rsidRPr="008E30AF" w:rsidRDefault="008E30AF" w:rsidP="008E30AF">
      <w:pPr>
        <w:pStyle w:val="ListParagraphPHPDOCX"/>
        <w:numPr>
          <w:ilvl w:val="0"/>
          <w:numId w:val="3"/>
        </w:numPr>
        <w:spacing w:after="120" w:line="240" w:lineRule="auto"/>
        <w:jc w:val="both"/>
        <w:rPr>
          <w:rFonts w:ascii="Calibri" w:eastAsia="Calibri" w:hAnsi="Calibri" w:cs="Calibri"/>
          <w:sz w:val="18"/>
          <w:lang w:val="en-US" w:eastAsia="en-US"/>
        </w:rPr>
      </w:pPr>
      <w:r w:rsidRPr="008E30AF">
        <w:rPr>
          <w:rFonts w:ascii="Calibri" w:eastAsia="Calibri" w:hAnsi="Calibri" w:cs="Calibri"/>
          <w:sz w:val="18"/>
          <w:lang w:val="en-US" w:eastAsia="en-US"/>
        </w:rPr>
        <w:t xml:space="preserve">Ahmed Raza Khan, Muhammad </w:t>
      </w:r>
      <w:proofErr w:type="spellStart"/>
      <w:r w:rsidRPr="008E30AF">
        <w:rPr>
          <w:rFonts w:ascii="Calibri" w:eastAsia="Calibri" w:hAnsi="Calibri" w:cs="Calibri"/>
          <w:sz w:val="18"/>
          <w:lang w:val="en-US" w:eastAsia="en-US"/>
        </w:rPr>
        <w:t>Qaiser</w:t>
      </w:r>
      <w:proofErr w:type="spellEnd"/>
      <w:r w:rsidRPr="008E30AF">
        <w:rPr>
          <w:rFonts w:ascii="Calibri" w:eastAsia="Calibri" w:hAnsi="Calibri" w:cs="Calibri"/>
          <w:sz w:val="18"/>
          <w:lang w:val="en-US" w:eastAsia="en-US"/>
        </w:rPr>
        <w:t xml:space="preserve"> </w:t>
      </w:r>
      <w:proofErr w:type="spellStart"/>
      <w:r w:rsidRPr="008E30AF">
        <w:rPr>
          <w:rFonts w:ascii="Calibri" w:eastAsia="Calibri" w:hAnsi="Calibri" w:cs="Calibri"/>
          <w:sz w:val="18"/>
          <w:lang w:val="en-US" w:eastAsia="en-US"/>
        </w:rPr>
        <w:t>Saleem</w:t>
      </w:r>
      <w:proofErr w:type="spellEnd"/>
      <w:r w:rsidRPr="008E30AF">
        <w:rPr>
          <w:rFonts w:ascii="Calibri" w:eastAsia="Calibri" w:hAnsi="Calibri" w:cs="Calibri"/>
          <w:sz w:val="18"/>
          <w:lang w:val="en-US" w:eastAsia="en-US"/>
        </w:rPr>
        <w:t xml:space="preserve">, </w:t>
      </w:r>
      <w:proofErr w:type="spellStart"/>
      <w:r w:rsidRPr="008E30AF">
        <w:rPr>
          <w:rFonts w:ascii="Calibri" w:eastAsia="Calibri" w:hAnsi="Calibri" w:cs="Calibri"/>
          <w:sz w:val="18"/>
          <w:lang w:val="en-US" w:eastAsia="en-US"/>
        </w:rPr>
        <w:t>Adeel</w:t>
      </w:r>
      <w:proofErr w:type="spellEnd"/>
      <w:r w:rsidRPr="008E30AF">
        <w:rPr>
          <w:rFonts w:ascii="Calibri" w:eastAsia="Calibri" w:hAnsi="Calibri" w:cs="Calibri"/>
          <w:sz w:val="18"/>
          <w:lang w:val="en-US" w:eastAsia="en-US"/>
        </w:rPr>
        <w:t xml:space="preserve"> </w:t>
      </w:r>
      <w:proofErr w:type="spellStart"/>
      <w:r w:rsidRPr="008E30AF">
        <w:rPr>
          <w:rFonts w:ascii="Calibri" w:eastAsia="Calibri" w:hAnsi="Calibri" w:cs="Calibri"/>
          <w:sz w:val="18"/>
          <w:lang w:val="en-US" w:eastAsia="en-US"/>
        </w:rPr>
        <w:t>Ikram</w:t>
      </w:r>
      <w:proofErr w:type="spellEnd"/>
      <w:r w:rsidRPr="008E30AF">
        <w:rPr>
          <w:rFonts w:ascii="Calibri" w:eastAsia="Calibri" w:hAnsi="Calibri" w:cs="Calibri"/>
          <w:sz w:val="18"/>
          <w:lang w:val="en-US" w:eastAsia="en-US"/>
        </w:rPr>
        <w:t xml:space="preserve">, “Parametric Optimization for Laser Marking Performance via Taguchi Approach”, Technical Journal University of Engineering and Technology (UET) </w:t>
      </w:r>
      <w:proofErr w:type="spellStart"/>
      <w:r w:rsidRPr="008E30AF">
        <w:rPr>
          <w:rFonts w:ascii="Calibri" w:eastAsia="Calibri" w:hAnsi="Calibri" w:cs="Calibri"/>
          <w:sz w:val="18"/>
          <w:lang w:val="en-US" w:eastAsia="en-US"/>
        </w:rPr>
        <w:t>Taxila</w:t>
      </w:r>
      <w:proofErr w:type="spellEnd"/>
      <w:r w:rsidRPr="008E30AF">
        <w:rPr>
          <w:rFonts w:ascii="Calibri" w:eastAsia="Calibri" w:hAnsi="Calibri" w:cs="Calibri"/>
          <w:sz w:val="18"/>
          <w:lang w:val="en-US" w:eastAsia="en-US"/>
        </w:rPr>
        <w:t>, 20 (2), 2015.</w:t>
      </w:r>
    </w:p>
    <w:p w:rsidR="008E30AF" w:rsidRPr="008E30AF" w:rsidRDefault="008E30AF" w:rsidP="008E30AF">
      <w:pPr>
        <w:pStyle w:val="ListParagraphPHPDOCX"/>
        <w:numPr>
          <w:ilvl w:val="0"/>
          <w:numId w:val="3"/>
        </w:numPr>
        <w:spacing w:after="120" w:line="240" w:lineRule="auto"/>
        <w:jc w:val="both"/>
        <w:rPr>
          <w:rFonts w:ascii="Calibri" w:eastAsia="Calibri" w:hAnsi="Calibri" w:cs="Calibri"/>
          <w:sz w:val="18"/>
          <w:lang w:val="en-US" w:eastAsia="en-US"/>
        </w:rPr>
      </w:pPr>
      <w:r w:rsidRPr="008E30AF">
        <w:rPr>
          <w:rFonts w:ascii="Calibri" w:eastAsia="Calibri" w:hAnsi="Calibri" w:cs="Calibri"/>
          <w:sz w:val="18"/>
          <w:lang w:val="en-US" w:eastAsia="en-US"/>
        </w:rPr>
        <w:t xml:space="preserve">Ahmed Raza Khan, Muhammad </w:t>
      </w:r>
      <w:proofErr w:type="spellStart"/>
      <w:r w:rsidRPr="008E30AF">
        <w:rPr>
          <w:rFonts w:ascii="Calibri" w:eastAsia="Calibri" w:hAnsi="Calibri" w:cs="Calibri"/>
          <w:sz w:val="18"/>
          <w:lang w:val="en-US" w:eastAsia="en-US"/>
        </w:rPr>
        <w:t>Awais</w:t>
      </w:r>
      <w:proofErr w:type="spellEnd"/>
      <w:r w:rsidRPr="008E30AF">
        <w:rPr>
          <w:rFonts w:ascii="Calibri" w:eastAsia="Calibri" w:hAnsi="Calibri" w:cs="Calibri"/>
          <w:sz w:val="18"/>
          <w:lang w:val="en-US" w:eastAsia="en-US"/>
        </w:rPr>
        <w:t xml:space="preserve"> Ahmad, </w:t>
      </w:r>
      <w:proofErr w:type="spellStart"/>
      <w:r w:rsidRPr="008E30AF">
        <w:rPr>
          <w:rFonts w:ascii="Calibri" w:eastAsia="Calibri" w:hAnsi="Calibri" w:cs="Calibri"/>
          <w:sz w:val="18"/>
          <w:lang w:val="en-US" w:eastAsia="en-US"/>
        </w:rPr>
        <w:t>Nauman</w:t>
      </w:r>
      <w:proofErr w:type="spellEnd"/>
      <w:r w:rsidRPr="008E30AF">
        <w:rPr>
          <w:rFonts w:ascii="Calibri" w:eastAsia="Calibri" w:hAnsi="Calibri" w:cs="Calibri"/>
          <w:sz w:val="18"/>
          <w:lang w:val="en-US" w:eastAsia="en-US"/>
        </w:rPr>
        <w:t xml:space="preserve"> </w:t>
      </w:r>
      <w:proofErr w:type="spellStart"/>
      <w:r w:rsidRPr="008E30AF">
        <w:rPr>
          <w:rFonts w:ascii="Calibri" w:eastAsia="Calibri" w:hAnsi="Calibri" w:cs="Calibri"/>
          <w:sz w:val="18"/>
          <w:lang w:val="en-US" w:eastAsia="en-US"/>
        </w:rPr>
        <w:t>Munir</w:t>
      </w:r>
      <w:proofErr w:type="spellEnd"/>
      <w:r w:rsidRPr="008E30AF">
        <w:rPr>
          <w:rFonts w:ascii="Calibri" w:eastAsia="Calibri" w:hAnsi="Calibri" w:cs="Calibri"/>
          <w:sz w:val="18"/>
          <w:lang w:val="en-US" w:eastAsia="en-US"/>
        </w:rPr>
        <w:t xml:space="preserve"> and </w:t>
      </w:r>
      <w:proofErr w:type="spellStart"/>
      <w:r w:rsidRPr="008E30AF">
        <w:rPr>
          <w:rFonts w:ascii="Calibri" w:eastAsia="Calibri" w:hAnsi="Calibri" w:cs="Calibri"/>
          <w:sz w:val="18"/>
          <w:lang w:val="en-US" w:eastAsia="en-US"/>
        </w:rPr>
        <w:t>Zubair</w:t>
      </w:r>
      <w:proofErr w:type="spellEnd"/>
      <w:r w:rsidRPr="008E30AF">
        <w:rPr>
          <w:rFonts w:ascii="Calibri" w:eastAsia="Calibri" w:hAnsi="Calibri" w:cs="Calibri"/>
          <w:sz w:val="18"/>
          <w:lang w:val="en-US" w:eastAsia="en-US"/>
        </w:rPr>
        <w:t xml:space="preserve"> Rashid Butt, “Influence of electrode material on quality of blind holes machined via electric discharge machine (die sinker), International Journal of Engineering Research &amp; Technology 4 (2), 2015.</w:t>
      </w:r>
    </w:p>
    <w:p w:rsidR="008E30AF" w:rsidRPr="008E30AF" w:rsidRDefault="008E30AF" w:rsidP="008E30AF">
      <w:pPr>
        <w:pStyle w:val="ListParagraphPHPDOCX"/>
        <w:numPr>
          <w:ilvl w:val="0"/>
          <w:numId w:val="3"/>
        </w:numPr>
        <w:spacing w:after="120" w:line="240" w:lineRule="auto"/>
        <w:jc w:val="both"/>
        <w:rPr>
          <w:rFonts w:ascii="Calibri" w:eastAsia="Calibri" w:hAnsi="Calibri" w:cs="Calibri"/>
          <w:sz w:val="18"/>
          <w:lang w:val="en-US" w:eastAsia="en-US"/>
        </w:rPr>
      </w:pPr>
      <w:r w:rsidRPr="008E30AF">
        <w:rPr>
          <w:rFonts w:ascii="Calibri" w:eastAsia="Calibri" w:hAnsi="Calibri" w:cs="Calibri"/>
          <w:sz w:val="18"/>
          <w:lang w:val="en-US" w:eastAsia="en-US"/>
        </w:rPr>
        <w:t xml:space="preserve">Ahmed Raza Khan, Muhammad </w:t>
      </w:r>
      <w:proofErr w:type="spellStart"/>
      <w:r w:rsidRPr="008E30AF">
        <w:rPr>
          <w:rFonts w:ascii="Calibri" w:eastAsia="Calibri" w:hAnsi="Calibri" w:cs="Calibri"/>
          <w:sz w:val="18"/>
          <w:lang w:val="en-US" w:eastAsia="en-US"/>
        </w:rPr>
        <w:t>Shahzad</w:t>
      </w:r>
      <w:proofErr w:type="spellEnd"/>
      <w:r w:rsidRPr="008E30AF">
        <w:rPr>
          <w:rFonts w:ascii="Calibri" w:eastAsia="Calibri" w:hAnsi="Calibri" w:cs="Calibri"/>
          <w:sz w:val="18"/>
          <w:lang w:val="en-US" w:eastAsia="en-US"/>
        </w:rPr>
        <w:t xml:space="preserve">, Muhammad </w:t>
      </w:r>
      <w:proofErr w:type="spellStart"/>
      <w:r w:rsidRPr="008E30AF">
        <w:rPr>
          <w:rFonts w:ascii="Calibri" w:eastAsia="Calibri" w:hAnsi="Calibri" w:cs="Calibri"/>
          <w:sz w:val="18"/>
          <w:lang w:val="en-US" w:eastAsia="en-US"/>
        </w:rPr>
        <w:t>Awais</w:t>
      </w:r>
      <w:proofErr w:type="spellEnd"/>
      <w:r w:rsidRPr="008E30AF">
        <w:rPr>
          <w:rFonts w:ascii="Calibri" w:eastAsia="Calibri" w:hAnsi="Calibri" w:cs="Calibri"/>
          <w:sz w:val="18"/>
          <w:lang w:val="en-US" w:eastAsia="en-US"/>
        </w:rPr>
        <w:t xml:space="preserve"> Ahmed “Quality Improvement of End Milled Slots using Titanium Nitride Coated Tools” Journal of Multidisciplinary Engineering Science and Technology, 2(4), 2015.</w:t>
      </w:r>
    </w:p>
    <w:p w:rsidR="008E30AF" w:rsidRPr="008E30AF" w:rsidRDefault="008E30AF" w:rsidP="008E30AF">
      <w:pPr>
        <w:pStyle w:val="ListParagraphPHPDOCX"/>
        <w:numPr>
          <w:ilvl w:val="0"/>
          <w:numId w:val="3"/>
        </w:numPr>
        <w:spacing w:after="120" w:line="240" w:lineRule="auto"/>
        <w:jc w:val="both"/>
        <w:rPr>
          <w:rFonts w:ascii="Calibri" w:eastAsia="Calibri" w:hAnsi="Calibri" w:cs="Calibri"/>
          <w:sz w:val="18"/>
          <w:lang w:val="en-US" w:eastAsia="en-US"/>
        </w:rPr>
      </w:pPr>
      <w:proofErr w:type="spellStart"/>
      <w:r w:rsidRPr="008E30AF">
        <w:rPr>
          <w:rFonts w:ascii="Calibri" w:eastAsia="Calibri" w:hAnsi="Calibri" w:cs="Calibri"/>
          <w:sz w:val="18"/>
          <w:lang w:val="en-US" w:eastAsia="en-US"/>
        </w:rPr>
        <w:t>Adeel</w:t>
      </w:r>
      <w:proofErr w:type="spellEnd"/>
      <w:r w:rsidRPr="008E30AF">
        <w:rPr>
          <w:rFonts w:ascii="Calibri" w:eastAsia="Calibri" w:hAnsi="Calibri" w:cs="Calibri"/>
          <w:sz w:val="18"/>
          <w:lang w:val="en-US" w:eastAsia="en-US"/>
        </w:rPr>
        <w:t xml:space="preserve"> </w:t>
      </w:r>
      <w:proofErr w:type="spellStart"/>
      <w:r w:rsidRPr="008E30AF">
        <w:rPr>
          <w:rFonts w:ascii="Calibri" w:eastAsia="Calibri" w:hAnsi="Calibri" w:cs="Calibri"/>
          <w:sz w:val="18"/>
          <w:lang w:val="en-US" w:eastAsia="en-US"/>
        </w:rPr>
        <w:t>Ikram</w:t>
      </w:r>
      <w:proofErr w:type="spellEnd"/>
      <w:r w:rsidRPr="008E30AF">
        <w:rPr>
          <w:rFonts w:ascii="Calibri" w:eastAsia="Calibri" w:hAnsi="Calibri" w:cs="Calibri"/>
          <w:sz w:val="18"/>
          <w:lang w:val="en-US" w:eastAsia="en-US"/>
        </w:rPr>
        <w:t xml:space="preserve">, Nadeem Ahmad Mufti, M. </w:t>
      </w:r>
      <w:proofErr w:type="spellStart"/>
      <w:r w:rsidRPr="008E30AF">
        <w:rPr>
          <w:rFonts w:ascii="Calibri" w:eastAsia="Calibri" w:hAnsi="Calibri" w:cs="Calibri"/>
          <w:sz w:val="18"/>
          <w:lang w:val="en-US" w:eastAsia="en-US"/>
        </w:rPr>
        <w:t>Qaiser</w:t>
      </w:r>
      <w:proofErr w:type="spellEnd"/>
      <w:r w:rsidRPr="008E30AF">
        <w:rPr>
          <w:rFonts w:ascii="Calibri" w:eastAsia="Calibri" w:hAnsi="Calibri" w:cs="Calibri"/>
          <w:sz w:val="18"/>
          <w:lang w:val="en-US" w:eastAsia="en-US"/>
        </w:rPr>
        <w:t xml:space="preserve"> </w:t>
      </w:r>
      <w:proofErr w:type="spellStart"/>
      <w:r w:rsidRPr="008E30AF">
        <w:rPr>
          <w:rFonts w:ascii="Calibri" w:eastAsia="Calibri" w:hAnsi="Calibri" w:cs="Calibri"/>
          <w:sz w:val="18"/>
          <w:lang w:val="en-US" w:eastAsia="en-US"/>
        </w:rPr>
        <w:t>Saleem</w:t>
      </w:r>
      <w:proofErr w:type="spellEnd"/>
      <w:r w:rsidRPr="008E30AF">
        <w:rPr>
          <w:rFonts w:ascii="Calibri" w:eastAsia="Calibri" w:hAnsi="Calibri" w:cs="Calibri"/>
          <w:sz w:val="18"/>
          <w:lang w:val="en-US" w:eastAsia="en-US"/>
        </w:rPr>
        <w:t>, Ahmed Raza Khan, “Parametric Optimization for Surface Roughness, Kerf and MRR in Wire Electrical Discharge Machining (WEDM) using Taguchi Design of Experiment” Journal of Mechanical Science and Technology, 27 (7), 2013.</w:t>
      </w:r>
    </w:p>
    <w:p w:rsidR="00AE3E37" w:rsidRDefault="008756E6" w:rsidP="008E30AF">
      <w:pPr>
        <w:spacing w:line="200" w:lineRule="exact"/>
        <w:jc w:val="both"/>
        <w:rPr>
          <w:rFonts w:ascii="Calibri"/>
          <w:sz w:val="20"/>
        </w:rPr>
      </w:pPr>
      <w:r>
        <w:rPr>
          <w:rFonts w:ascii="Calibri" w:hAnsi="Calibri"/>
        </w:rPr>
        <w:t xml:space="preserve">   </w:t>
      </w:r>
    </w:p>
    <w:p w:rsidR="00AE3E37" w:rsidRDefault="00292ED9">
      <w:pPr>
        <w:pStyle w:val="BodyText"/>
        <w:spacing w:line="40" w:lineRule="exact"/>
        <w:ind w:left="2202"/>
        <w:rPr>
          <w:rFonts w:ascii="Calibri"/>
          <w:sz w:val="4"/>
        </w:rPr>
      </w:pPr>
      <w:r>
        <w:rPr>
          <w:rFonts w:ascii="Calibri"/>
          <w:noProof/>
          <w:sz w:val="4"/>
          <w:lang w:val="en-AU" w:eastAsia="en-AU"/>
        </w:rPr>
        <mc:AlternateContent>
          <mc:Choice Requires="wpg">
            <w:drawing>
              <wp:inline distT="0" distB="0" distL="0" distR="0" wp14:anchorId="3AB6168D" wp14:editId="768C02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AU" w:eastAsia="en-AU"/>
        </w:rPr>
        <w:drawing>
          <wp:inline distT="0" distB="0" distL="0" distR="0" wp14:anchorId="74545BAB" wp14:editId="634DB039">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292FA4">
      <w:pPr>
        <w:spacing w:before="41" w:line="154" w:lineRule="exact"/>
        <w:ind w:left="213" w:right="231"/>
        <w:jc w:val="both"/>
        <w:rPr>
          <w:rFonts w:ascii="Arial"/>
          <w:sz w:val="14"/>
        </w:rPr>
      </w:pPr>
      <w:r w:rsidRPr="00292FA4">
        <w:rPr>
          <w:rFonts w:ascii="Arial"/>
          <w:sz w:val="14"/>
        </w:rPr>
        <w:t xml:space="preserve">Ahmed Raza Khan is </w:t>
      </w:r>
      <w:r>
        <w:rPr>
          <w:rFonts w:ascii="Arial"/>
          <w:sz w:val="14"/>
        </w:rPr>
        <w:t xml:space="preserve">a final year PhD student in Australian National University working in optical harmonic generation in 2D materials. He was </w:t>
      </w:r>
      <w:r w:rsidRPr="00292FA4">
        <w:rPr>
          <w:rFonts w:ascii="Arial"/>
          <w:sz w:val="14"/>
        </w:rPr>
        <w:t>working as Assistant Professor in Department of Industrial &amp; Manufacturing Engineering</w:t>
      </w:r>
      <w:r>
        <w:rPr>
          <w:rFonts w:ascii="Arial"/>
          <w:sz w:val="14"/>
        </w:rPr>
        <w:t xml:space="preserve"> before startin</w:t>
      </w:r>
      <w:r w:rsidR="008E30AF">
        <w:rPr>
          <w:rFonts w:ascii="Arial"/>
          <w:sz w:val="14"/>
        </w:rPr>
        <w:t>g</w:t>
      </w:r>
      <w:r>
        <w:rPr>
          <w:rFonts w:ascii="Arial"/>
          <w:sz w:val="14"/>
        </w:rPr>
        <w:t xml:space="preserve"> his PhD. His research interests include optical harmonic generation, linear and nonlinear optical properties of two dimensional (2D) materials, etc. </w:t>
      </w:r>
    </w:p>
    <w:p w:rsidR="00AE3E37" w:rsidRDefault="00A9710C" w:rsidP="008E30AF">
      <w:pPr>
        <w:spacing w:before="62"/>
        <w:ind w:left="4217" w:right="4235"/>
        <w:jc w:val="center"/>
        <w:rPr>
          <w:rFonts w:ascii="Minion Pro"/>
          <w:sz w:val="26"/>
        </w:rPr>
      </w:pPr>
      <w:r>
        <w:rPr>
          <w:rFonts w:ascii="Arial"/>
          <w:sz w:val="14"/>
        </w:rPr>
        <w:t xml:space="preserve">Email: </w:t>
      </w:r>
      <w:hyperlink r:id="rId12" w:history="1">
        <w:r w:rsidR="00292FA4" w:rsidRPr="006A2D87">
          <w:rPr>
            <w:rStyle w:val="Hyperlink"/>
            <w:rFonts w:ascii="Arial"/>
            <w:sz w:val="14"/>
          </w:rPr>
          <w:t>ahmed.raza@anu.edu.au</w:t>
        </w:r>
      </w:hyperlink>
      <w:r w:rsidR="00292ED9">
        <w:rPr>
          <w:noProof/>
          <w:lang w:val="en-AU" w:eastAsia="en-AU"/>
        </w:rPr>
        <mc:AlternateContent>
          <mc:Choice Requires="wps">
            <w:drawing>
              <wp:anchor distT="0" distB="0" distL="0" distR="0" simplePos="0" relativeHeight="1072" behindDoc="0" locked="0" layoutInCell="1" allowOverlap="1" wp14:anchorId="559C9FAA" wp14:editId="74A6144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63BC" w:rsidRDefault="002463BC">
      <w:r>
        <w:separator/>
      </w:r>
    </w:p>
  </w:endnote>
  <w:endnote w:type="continuationSeparator" w:id="0">
    <w:p w:rsidR="002463BC" w:rsidRDefault="00246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AU" w:eastAsia="en-AU"/>
      </w:rPr>
      <mc:AlternateContent>
        <mc:Choice Requires="wps">
          <w:drawing>
            <wp:anchor distT="0" distB="0" distL="114300" distR="114300" simplePos="0" relativeHeight="503311928" behindDoc="1" locked="0" layoutInCell="1" allowOverlap="1" wp14:anchorId="717111E0" wp14:editId="19C7BF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52" behindDoc="1" locked="0" layoutInCell="1" allowOverlap="1" wp14:anchorId="1F06A42B" wp14:editId="5CD4BF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76" behindDoc="1" locked="0" layoutInCell="1" allowOverlap="1" wp14:anchorId="68C7DA80" wp14:editId="561652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63BC" w:rsidRDefault="002463BC">
      <w:r>
        <w:separator/>
      </w:r>
    </w:p>
  </w:footnote>
  <w:footnote w:type="continuationSeparator" w:id="0">
    <w:p w:rsidR="002463BC" w:rsidRDefault="002463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AU" w:eastAsia="en-AU"/>
      </w:rPr>
      <mc:AlternateContent>
        <mc:Choice Requires="wps">
          <w:drawing>
            <wp:anchor distT="0" distB="0" distL="114300" distR="114300" simplePos="0" relativeHeight="503311880" behindDoc="1" locked="0" layoutInCell="1" allowOverlap="1" wp14:anchorId="2A302EE3" wp14:editId="158382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04" behindDoc="1" locked="0" layoutInCell="1" allowOverlap="1" wp14:anchorId="713F8423" wp14:editId="2CBD339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E2911"/>
    <w:rsid w:val="001263DF"/>
    <w:rsid w:val="001E752F"/>
    <w:rsid w:val="0023086C"/>
    <w:rsid w:val="002463BC"/>
    <w:rsid w:val="00292ED9"/>
    <w:rsid w:val="00292FA4"/>
    <w:rsid w:val="00404E5B"/>
    <w:rsid w:val="00414F7B"/>
    <w:rsid w:val="004355DC"/>
    <w:rsid w:val="004749B4"/>
    <w:rsid w:val="00494130"/>
    <w:rsid w:val="004F3523"/>
    <w:rsid w:val="005973B9"/>
    <w:rsid w:val="005B3A56"/>
    <w:rsid w:val="006060CE"/>
    <w:rsid w:val="0063497F"/>
    <w:rsid w:val="00770E30"/>
    <w:rsid w:val="007D3A55"/>
    <w:rsid w:val="00873DF0"/>
    <w:rsid w:val="008756E6"/>
    <w:rsid w:val="008E30AF"/>
    <w:rsid w:val="009136B9"/>
    <w:rsid w:val="00983618"/>
    <w:rsid w:val="009B2D44"/>
    <w:rsid w:val="00A07E82"/>
    <w:rsid w:val="00A527E3"/>
    <w:rsid w:val="00A9710C"/>
    <w:rsid w:val="00AE3E37"/>
    <w:rsid w:val="00B21A57"/>
    <w:rsid w:val="00C33602"/>
    <w:rsid w:val="00CD6F55"/>
    <w:rsid w:val="00DE3104"/>
    <w:rsid w:val="00E92544"/>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ListParagraphPHPDOCX">
    <w:name w:val="List Paragraph PHPDOCX"/>
    <w:basedOn w:val="Normal"/>
    <w:uiPriority w:val="34"/>
    <w:qFormat/>
    <w:rsid w:val="008E30AF"/>
    <w:pPr>
      <w:widowControl/>
      <w:spacing w:after="200" w:line="276" w:lineRule="auto"/>
      <w:ind w:left="720"/>
      <w:contextualSpacing/>
    </w:pPr>
    <w:rPr>
      <w:rFonts w:asciiTheme="minorHAnsi" w:eastAsiaTheme="minorEastAsia" w:hAnsiTheme="minorHAnsi" w:cstheme="minorBidi"/>
      <w:lang w:val="en-AU"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ListParagraphPHPDOCX">
    <w:name w:val="List Paragraph PHPDOCX"/>
    <w:basedOn w:val="Normal"/>
    <w:uiPriority w:val="34"/>
    <w:qFormat/>
    <w:rsid w:val="008E30AF"/>
    <w:pPr>
      <w:widowControl/>
      <w:spacing w:after="200" w:line="276" w:lineRule="auto"/>
      <w:ind w:left="720"/>
      <w:contextualSpacing/>
    </w:pPr>
    <w:rPr>
      <w:rFonts w:asciiTheme="minorHAnsi" w:eastAsiaTheme="minorEastAsia" w:hAnsiTheme="minorHAnsi" w:cstheme="minorBidi"/>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1484505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811441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ahmed.raza@anu.edu.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565</Words>
  <Characters>3226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CECS</cp:lastModifiedBy>
  <cp:revision>2</cp:revision>
  <dcterms:created xsi:type="dcterms:W3CDTF">2019-08-16T02:11:00Z</dcterms:created>
  <dcterms:modified xsi:type="dcterms:W3CDTF">2019-08-16T02:11:00Z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