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610" w:rsidRDefault="00CD6443" w:rsidP="00FA1494">
      <w:pPr>
        <w:pStyle w:val="Heading1"/>
        <w:spacing w:before="0" w:line="240" w:lineRule="auto"/>
        <w:ind w:left="0"/>
        <w:jc w:val="center"/>
        <w:rPr>
          <w:color w:val="337AB7"/>
        </w:rPr>
      </w:pPr>
      <w:r>
        <w:rPr>
          <w:color w:val="337AB7"/>
        </w:rPr>
        <w:t xml:space="preserve">Studies on Natural Rubber </w:t>
      </w:r>
      <w:proofErr w:type="spellStart"/>
      <w:r>
        <w:rPr>
          <w:color w:val="337AB7"/>
        </w:rPr>
        <w:t>Nanocomposites</w:t>
      </w:r>
      <w:proofErr w:type="spellEnd"/>
      <w:r>
        <w:rPr>
          <w:color w:val="337AB7"/>
        </w:rPr>
        <w:t xml:space="preserve"> by incorporating </w:t>
      </w:r>
    </w:p>
    <w:p w:rsidR="00CD6443" w:rsidRDefault="00CD6443" w:rsidP="00FA1494">
      <w:pPr>
        <w:pStyle w:val="Heading1"/>
        <w:spacing w:before="0" w:line="240" w:lineRule="auto"/>
        <w:ind w:left="0"/>
        <w:jc w:val="center"/>
      </w:pPr>
      <w:r>
        <w:rPr>
          <w:color w:val="337AB7"/>
        </w:rPr>
        <w:t xml:space="preserve">Amine functionalized </w:t>
      </w:r>
      <w:proofErr w:type="spellStart"/>
      <w:r>
        <w:rPr>
          <w:color w:val="337AB7"/>
        </w:rPr>
        <w:t>Graphene</w:t>
      </w:r>
      <w:proofErr w:type="spellEnd"/>
      <w:r>
        <w:rPr>
          <w:color w:val="337AB7"/>
        </w:rPr>
        <w:t xml:space="preserve"> oxide</w:t>
      </w:r>
    </w:p>
    <w:p w:rsidR="00CD6443" w:rsidRPr="00CA10D8" w:rsidRDefault="00CD6443" w:rsidP="004E3610">
      <w:pPr>
        <w:pStyle w:val="RSCH02PaperAuthorsandByline"/>
        <w:spacing w:after="0"/>
        <w:ind w:left="1988" w:firstLine="284"/>
        <w:rPr>
          <w:rFonts w:ascii="Tw Cen MT" w:hAnsi="Tw Cen MT"/>
          <w:vertAlign w:val="superscript"/>
        </w:rPr>
      </w:pPr>
      <w:proofErr w:type="spellStart"/>
      <w:r w:rsidRPr="00CA10D8">
        <w:rPr>
          <w:rFonts w:ascii="Tw Cen MT" w:hAnsi="Tw Cen MT"/>
        </w:rPr>
        <w:t>Jophy</w:t>
      </w:r>
      <w:proofErr w:type="spellEnd"/>
      <w:r w:rsidRPr="00CA10D8">
        <w:rPr>
          <w:rFonts w:ascii="Tw Cen MT" w:hAnsi="Tw Cen MT"/>
        </w:rPr>
        <w:t xml:space="preserve"> Jose</w:t>
      </w:r>
      <w:r w:rsidRPr="00CA10D8">
        <w:rPr>
          <w:rFonts w:ascii="Tw Cen MT" w:hAnsi="Tw Cen MT"/>
          <w:vertAlign w:val="superscript"/>
        </w:rPr>
        <w:t>1</w:t>
      </w:r>
      <w:proofErr w:type="gramStart"/>
      <w:r w:rsidRPr="00CA10D8">
        <w:rPr>
          <w:rFonts w:ascii="Tw Cen MT" w:hAnsi="Tw Cen MT"/>
        </w:rPr>
        <w:t>,Susamma</w:t>
      </w:r>
      <w:proofErr w:type="gramEnd"/>
      <w:r w:rsidRPr="00CA10D8">
        <w:rPr>
          <w:rFonts w:ascii="Tw Cen MT" w:hAnsi="Tw Cen MT"/>
        </w:rPr>
        <w:t xml:space="preserve"> A. P.</w:t>
      </w:r>
      <w:r w:rsidRPr="00CA10D8">
        <w:rPr>
          <w:rFonts w:ascii="Tw Cen MT" w:hAnsi="Tw Cen MT"/>
          <w:vertAlign w:val="superscript"/>
        </w:rPr>
        <w:t>2</w:t>
      </w:r>
      <w:r w:rsidR="00CA10D8" w:rsidRPr="00CA10D8">
        <w:rPr>
          <w:rFonts w:ascii="Tw Cen MT" w:hAnsi="Tw Cen MT"/>
          <w:vertAlign w:val="superscript"/>
        </w:rPr>
        <w:t>*</w:t>
      </w:r>
    </w:p>
    <w:p w:rsidR="00CD6443" w:rsidRPr="00CA10D8" w:rsidRDefault="00CD6443" w:rsidP="004E3610">
      <w:pPr>
        <w:pStyle w:val="RSCH02PaperAuthorsandByline"/>
        <w:spacing w:after="0"/>
        <w:ind w:left="1988" w:firstLine="284"/>
        <w:rPr>
          <w:rFonts w:ascii="Tw Cen MT" w:hAnsi="Tw Cen MT"/>
        </w:rPr>
      </w:pPr>
      <w:r w:rsidRPr="00CA10D8">
        <w:rPr>
          <w:rFonts w:ascii="Tw Cen MT" w:hAnsi="Tw Cen MT"/>
        </w:rPr>
        <w:t xml:space="preserve">1 Research Department of Chemistry, Maharaja’s College </w:t>
      </w:r>
      <w:proofErr w:type="spellStart"/>
      <w:r w:rsidRPr="00CA10D8">
        <w:rPr>
          <w:rFonts w:ascii="Tw Cen MT" w:hAnsi="Tw Cen MT"/>
        </w:rPr>
        <w:t>Ernakulam</w:t>
      </w:r>
      <w:proofErr w:type="spellEnd"/>
      <w:r w:rsidRPr="00CA10D8">
        <w:rPr>
          <w:rFonts w:ascii="Tw Cen MT" w:hAnsi="Tw Cen MT"/>
        </w:rPr>
        <w:t>, Kerala, India -682011</w:t>
      </w:r>
    </w:p>
    <w:p w:rsidR="00CD6443" w:rsidRPr="00CA10D8" w:rsidRDefault="00CD6443" w:rsidP="004E3610">
      <w:pPr>
        <w:pStyle w:val="RSCH02PaperAuthorsandByline"/>
        <w:spacing w:after="0"/>
        <w:ind w:left="1988" w:firstLine="284"/>
        <w:rPr>
          <w:rFonts w:ascii="Tw Cen MT" w:hAnsi="Tw Cen MT"/>
        </w:rPr>
      </w:pPr>
      <w:r w:rsidRPr="00CA10D8">
        <w:rPr>
          <w:rFonts w:ascii="Tw Cen MT" w:hAnsi="Tw Cen MT"/>
        </w:rPr>
        <w:t>2 Kerala University of Fisheries and Ocean Studies, Kochi, Kerala, India – 682 506</w:t>
      </w:r>
    </w:p>
    <w:p w:rsidR="00CD6443" w:rsidRDefault="00CD6443" w:rsidP="00CD6443">
      <w:pPr>
        <w:rPr>
          <w:rFonts w:ascii="Arial"/>
          <w:sz w:val="21"/>
        </w:rPr>
        <w:sectPr w:rsidR="00CD6443" w:rsidSect="00CD6443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CD6443" w:rsidRDefault="00CD6443" w:rsidP="00CD6443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 xml:space="preserve">Abstract </w:t>
      </w:r>
    </w:p>
    <w:p w:rsidR="00CD6443" w:rsidRPr="000655E9" w:rsidRDefault="00CD6443" w:rsidP="00CD6443">
      <w:pPr>
        <w:pStyle w:val="RSCB02ArticleText"/>
      </w:pPr>
      <w:r w:rsidRPr="00CD6443">
        <w:rPr>
          <w:rFonts w:ascii="Tw Cen MT" w:hAnsi="Tw Cen MT"/>
        </w:rPr>
        <w:t xml:space="preserve">The present work has the objective of synthesising amine functionalised </w:t>
      </w:r>
      <w:proofErr w:type="spellStart"/>
      <w:r w:rsidRPr="00CD6443">
        <w:rPr>
          <w:rFonts w:ascii="Tw Cen MT" w:hAnsi="Tw Cen MT"/>
        </w:rPr>
        <w:t>Graphene</w:t>
      </w:r>
      <w:proofErr w:type="spellEnd"/>
      <w:r w:rsidRPr="00CD6443">
        <w:rPr>
          <w:rFonts w:ascii="Tw Cen MT" w:hAnsi="Tw Cen MT"/>
        </w:rPr>
        <w:t xml:space="preserve"> </w:t>
      </w:r>
      <w:proofErr w:type="gramStart"/>
      <w:r w:rsidRPr="00CD6443">
        <w:rPr>
          <w:rFonts w:ascii="Tw Cen MT" w:hAnsi="Tw Cen MT"/>
        </w:rPr>
        <w:t>Oxide(</w:t>
      </w:r>
      <w:proofErr w:type="gramEnd"/>
      <w:r w:rsidRPr="00CD6443">
        <w:rPr>
          <w:rFonts w:ascii="Tw Cen MT" w:hAnsi="Tw Cen MT"/>
        </w:rPr>
        <w:t xml:space="preserve">GO) by two different </w:t>
      </w:r>
      <w:r w:rsidR="004A743F" w:rsidRPr="00CD6443">
        <w:rPr>
          <w:rFonts w:ascii="Tw Cen MT" w:hAnsi="Tw Cen MT"/>
        </w:rPr>
        <w:t>methods, one</w:t>
      </w:r>
      <w:r w:rsidRPr="00CD6443">
        <w:rPr>
          <w:rFonts w:ascii="Tw Cen MT" w:hAnsi="Tw Cen MT"/>
        </w:rPr>
        <w:t xml:space="preserve"> by modified </w:t>
      </w:r>
      <w:proofErr w:type="spellStart"/>
      <w:r w:rsidRPr="00CD6443">
        <w:rPr>
          <w:rFonts w:ascii="Tw Cen MT" w:hAnsi="Tw Cen MT"/>
        </w:rPr>
        <w:t>Bucherer</w:t>
      </w:r>
      <w:proofErr w:type="spellEnd"/>
      <w:r w:rsidRPr="00CD6443">
        <w:rPr>
          <w:rFonts w:ascii="Tw Cen MT" w:hAnsi="Tw Cen MT"/>
        </w:rPr>
        <w:t xml:space="preserve"> reaction(AGO)  and the other by using </w:t>
      </w:r>
      <w:proofErr w:type="spellStart"/>
      <w:r w:rsidRPr="00CD6443">
        <w:rPr>
          <w:rFonts w:ascii="Tw Cen MT" w:hAnsi="Tw Cen MT"/>
        </w:rPr>
        <w:t>dodecyl</w:t>
      </w:r>
      <w:proofErr w:type="spellEnd"/>
      <w:r w:rsidRPr="00CD6443">
        <w:rPr>
          <w:rFonts w:ascii="Tw Cen MT" w:hAnsi="Tw Cen MT"/>
        </w:rPr>
        <w:t xml:space="preserve"> amine(DGO).  The synthesised amine functionalised </w:t>
      </w:r>
      <w:proofErr w:type="spellStart"/>
      <w:r w:rsidRPr="00CD6443">
        <w:rPr>
          <w:rFonts w:ascii="Tw Cen MT" w:hAnsi="Tw Cen MT"/>
        </w:rPr>
        <w:t>Graphene</w:t>
      </w:r>
      <w:proofErr w:type="spellEnd"/>
      <w:r w:rsidRPr="00CD6443">
        <w:rPr>
          <w:rFonts w:ascii="Tw Cen MT" w:hAnsi="Tw Cen MT"/>
        </w:rPr>
        <w:t xml:space="preserve"> oxide were characterised by FTIR, XRD</w:t>
      </w:r>
      <w:r w:rsidR="004A743F" w:rsidRPr="00CD6443">
        <w:rPr>
          <w:rFonts w:ascii="Tw Cen MT" w:hAnsi="Tw Cen MT"/>
        </w:rPr>
        <w:t>, SEM, TEM</w:t>
      </w:r>
      <w:r w:rsidR="004A743F">
        <w:rPr>
          <w:rFonts w:ascii="Tw Cen MT" w:hAnsi="Tw Cen MT"/>
        </w:rPr>
        <w:t xml:space="preserve"> and Raman Spectroscopy.</w:t>
      </w:r>
      <w:r w:rsidRPr="00CD6443">
        <w:rPr>
          <w:rFonts w:ascii="Tw Cen MT" w:hAnsi="Tw Cen MT"/>
        </w:rPr>
        <w:t xml:space="preserve"> The SEM,</w:t>
      </w:r>
      <w:r w:rsidR="004A743F">
        <w:rPr>
          <w:rFonts w:ascii="Tw Cen MT" w:hAnsi="Tw Cen MT"/>
        </w:rPr>
        <w:t xml:space="preserve"> </w:t>
      </w:r>
      <w:r w:rsidRPr="00CD6443">
        <w:rPr>
          <w:rFonts w:ascii="Tw Cen MT" w:hAnsi="Tw Cen MT"/>
        </w:rPr>
        <w:t>TEM,</w:t>
      </w:r>
      <w:r w:rsidR="004A743F">
        <w:rPr>
          <w:rFonts w:ascii="Tw Cen MT" w:hAnsi="Tw Cen MT"/>
        </w:rPr>
        <w:t xml:space="preserve"> </w:t>
      </w:r>
      <w:r w:rsidRPr="00CD6443">
        <w:rPr>
          <w:rFonts w:ascii="Tw Cen MT" w:hAnsi="Tw Cen MT"/>
        </w:rPr>
        <w:t>FTIR,</w:t>
      </w:r>
      <w:r w:rsidR="004A743F">
        <w:rPr>
          <w:rFonts w:ascii="Tw Cen MT" w:hAnsi="Tw Cen MT"/>
        </w:rPr>
        <w:t xml:space="preserve"> </w:t>
      </w:r>
      <w:r w:rsidRPr="00CD6443">
        <w:rPr>
          <w:rFonts w:ascii="Tw Cen MT" w:hAnsi="Tw Cen MT"/>
        </w:rPr>
        <w:t>Raman Spectroscopy and XRD results indicate that amine groups can be successfully grafted on the surface of GO.</w:t>
      </w:r>
      <w:r w:rsidR="004A743F">
        <w:rPr>
          <w:rFonts w:ascii="Tw Cen MT" w:hAnsi="Tw Cen MT"/>
        </w:rPr>
        <w:t xml:space="preserve"> </w:t>
      </w:r>
      <w:r w:rsidRPr="00CD6443">
        <w:rPr>
          <w:rFonts w:ascii="Tw Cen MT" w:hAnsi="Tw Cen MT"/>
        </w:rPr>
        <w:t xml:space="preserve">A series of Natural </w:t>
      </w:r>
      <w:proofErr w:type="gramStart"/>
      <w:r w:rsidRPr="00CD6443">
        <w:rPr>
          <w:rFonts w:ascii="Tw Cen MT" w:hAnsi="Tw Cen MT"/>
        </w:rPr>
        <w:t>Rubber(</w:t>
      </w:r>
      <w:proofErr w:type="gramEnd"/>
      <w:r w:rsidRPr="00CD6443">
        <w:rPr>
          <w:rFonts w:ascii="Tw Cen MT" w:hAnsi="Tw Cen MT"/>
        </w:rPr>
        <w:t xml:space="preserve">NR) – AGO and NR -  DGO </w:t>
      </w:r>
      <w:proofErr w:type="spellStart"/>
      <w:r w:rsidRPr="00CD6443">
        <w:rPr>
          <w:rFonts w:ascii="Tw Cen MT" w:hAnsi="Tw Cen MT"/>
        </w:rPr>
        <w:t>nanocomposites</w:t>
      </w:r>
      <w:proofErr w:type="spellEnd"/>
      <w:r w:rsidRPr="00CD6443">
        <w:rPr>
          <w:rFonts w:ascii="Tw Cen MT" w:hAnsi="Tw Cen MT"/>
        </w:rPr>
        <w:t xml:space="preserve"> with varying compositions of AGO and DGO ranging from 0 – 1.5 </w:t>
      </w:r>
      <w:r w:rsidR="00C1579A">
        <w:rPr>
          <w:rFonts w:ascii="Tw Cen MT" w:hAnsi="Tw Cen MT"/>
        </w:rPr>
        <w:t>per hundred rubber (</w:t>
      </w:r>
      <w:proofErr w:type="spellStart"/>
      <w:r w:rsidR="00C1579A">
        <w:rPr>
          <w:rFonts w:ascii="Tw Cen MT" w:hAnsi="Tw Cen MT"/>
        </w:rPr>
        <w:t>phr</w:t>
      </w:r>
      <w:proofErr w:type="spellEnd"/>
      <w:r w:rsidR="00C1579A">
        <w:rPr>
          <w:rFonts w:ascii="Tw Cen MT" w:hAnsi="Tw Cen MT"/>
        </w:rPr>
        <w:t xml:space="preserve">) </w:t>
      </w:r>
      <w:r w:rsidRPr="00CD6443">
        <w:rPr>
          <w:rFonts w:ascii="Tw Cen MT" w:hAnsi="Tw Cen MT"/>
        </w:rPr>
        <w:t xml:space="preserve">were prepared by latex mixing method. The morphology of </w:t>
      </w:r>
      <w:proofErr w:type="spellStart"/>
      <w:r w:rsidRPr="00CD6443">
        <w:rPr>
          <w:rFonts w:ascii="Tw Cen MT" w:hAnsi="Tw Cen MT"/>
        </w:rPr>
        <w:t>nanocomposites</w:t>
      </w:r>
      <w:proofErr w:type="spellEnd"/>
      <w:r w:rsidRPr="00CD6443">
        <w:rPr>
          <w:rFonts w:ascii="Tw Cen MT" w:hAnsi="Tw Cen MT"/>
        </w:rPr>
        <w:t xml:space="preserve"> were analysed by SEM and TEM and the mechanical and dielectric properties were studied by using Universal Testing machine and</w:t>
      </w:r>
      <w:r w:rsidR="00C751E4">
        <w:rPr>
          <w:rFonts w:ascii="Tw Cen MT" w:hAnsi="Tw Cen MT"/>
        </w:rPr>
        <w:t xml:space="preserve"> </w:t>
      </w:r>
      <w:r w:rsidR="00C751E4" w:rsidRPr="00CD6443">
        <w:rPr>
          <w:rFonts w:ascii="Tw Cen MT" w:hAnsi="Tw Cen MT"/>
        </w:rPr>
        <w:t>impedance</w:t>
      </w:r>
      <w:r w:rsidRPr="00CD6443">
        <w:rPr>
          <w:rFonts w:ascii="Tw Cen MT" w:hAnsi="Tw Cen MT"/>
        </w:rPr>
        <w:t xml:space="preserve"> analyser. The SEM and TEM measurements shows the well distribution of AGO and DGO in the NR matrix</w:t>
      </w:r>
      <w:r w:rsidR="00C751E4">
        <w:rPr>
          <w:rFonts w:ascii="Tw Cen MT" w:hAnsi="Tw Cen MT"/>
        </w:rPr>
        <w:t xml:space="preserve">. </w:t>
      </w:r>
      <w:r w:rsidRPr="00CD6443">
        <w:rPr>
          <w:rFonts w:ascii="Tw Cen MT" w:hAnsi="Tw Cen MT"/>
        </w:rPr>
        <w:t xml:space="preserve">The NR-AGO and NR-DGO </w:t>
      </w:r>
      <w:proofErr w:type="spellStart"/>
      <w:r w:rsidRPr="00CD6443">
        <w:rPr>
          <w:rFonts w:ascii="Tw Cen MT" w:hAnsi="Tw Cen MT"/>
        </w:rPr>
        <w:t>nanocomposites</w:t>
      </w:r>
      <w:proofErr w:type="spellEnd"/>
      <w:r w:rsidRPr="00CD6443">
        <w:rPr>
          <w:rFonts w:ascii="Tw Cen MT" w:hAnsi="Tw Cen MT"/>
        </w:rPr>
        <w:t xml:space="preserve"> exhibited a tremendous improvement of mechanical properties like tensile strength and </w:t>
      </w:r>
      <w:proofErr w:type="spellStart"/>
      <w:r w:rsidRPr="00CD6443">
        <w:rPr>
          <w:rFonts w:ascii="Tw Cen MT" w:hAnsi="Tw Cen MT"/>
        </w:rPr>
        <w:t>tearstrength</w:t>
      </w:r>
      <w:proofErr w:type="spellEnd"/>
      <w:r w:rsidRPr="00CD6443">
        <w:rPr>
          <w:rFonts w:ascii="Tw Cen MT" w:hAnsi="Tw Cen MT"/>
        </w:rPr>
        <w:t xml:space="preserve"> which were ascribed to the uniform dispersion of AGO and DGO in the NR matrix and enhanced interfacial interaction between the filler and the matrix. For both NR-AGO and NR–DGO </w:t>
      </w:r>
      <w:proofErr w:type="spellStart"/>
      <w:r w:rsidRPr="00CD6443">
        <w:rPr>
          <w:rFonts w:ascii="Tw Cen MT" w:hAnsi="Tw Cen MT"/>
        </w:rPr>
        <w:t>nanocomposites</w:t>
      </w:r>
      <w:proofErr w:type="spellEnd"/>
      <w:r w:rsidRPr="00CD6443">
        <w:rPr>
          <w:rFonts w:ascii="Tw Cen MT" w:hAnsi="Tw Cen MT"/>
        </w:rPr>
        <w:t xml:space="preserve">, 0.5 </w:t>
      </w:r>
      <w:proofErr w:type="spellStart"/>
      <w:r w:rsidRPr="00CD6443">
        <w:rPr>
          <w:rFonts w:ascii="Tw Cen MT" w:hAnsi="Tw Cen MT"/>
        </w:rPr>
        <w:t>phr</w:t>
      </w:r>
      <w:proofErr w:type="spellEnd"/>
      <w:r w:rsidRPr="00CD6443">
        <w:rPr>
          <w:rFonts w:ascii="Tw Cen MT" w:hAnsi="Tw Cen MT"/>
        </w:rPr>
        <w:t xml:space="preserve"> composition was optimised as the best compared to others (0.05, 0.1, 0.3, 0.5</w:t>
      </w:r>
      <w:proofErr w:type="gramStart"/>
      <w:r w:rsidRPr="00CD6443">
        <w:rPr>
          <w:rFonts w:ascii="Tw Cen MT" w:hAnsi="Tw Cen MT"/>
        </w:rPr>
        <w:t>,0.75,1.0,1.5</w:t>
      </w:r>
      <w:proofErr w:type="gramEnd"/>
      <w:r w:rsidRPr="00CD6443">
        <w:rPr>
          <w:rFonts w:ascii="Tw Cen MT" w:hAnsi="Tw Cen MT"/>
        </w:rPr>
        <w:t>) in terms of mechanical</w:t>
      </w:r>
      <w:r w:rsidR="00C751E4">
        <w:rPr>
          <w:rFonts w:ascii="Tw Cen MT" w:hAnsi="Tw Cen MT"/>
        </w:rPr>
        <w:t xml:space="preserve"> properties.</w:t>
      </w:r>
      <w:r w:rsidRPr="00CD6443">
        <w:rPr>
          <w:rFonts w:ascii="Tw Cen MT" w:hAnsi="Tw Cen MT"/>
        </w:rPr>
        <w:t xml:space="preserve"> The presence of AGO and DGO can also increase the dielectric properties of NR </w:t>
      </w:r>
      <w:proofErr w:type="spellStart"/>
      <w:r w:rsidRPr="00CD6443">
        <w:rPr>
          <w:rFonts w:ascii="Tw Cen MT" w:hAnsi="Tw Cen MT"/>
        </w:rPr>
        <w:t>nanocomposites</w:t>
      </w:r>
      <w:proofErr w:type="spellEnd"/>
      <w:r w:rsidRPr="00CD6443">
        <w:rPr>
          <w:rFonts w:ascii="Tw Cen MT" w:hAnsi="Tw Cen MT"/>
        </w:rPr>
        <w:t xml:space="preserve">. Compared to AGO, DGO showed more enhancements in mechanical and electrical properties. It may be due to the presence of long alkyl groups in </w:t>
      </w:r>
      <w:proofErr w:type="spellStart"/>
      <w:r w:rsidRPr="00CD6443">
        <w:rPr>
          <w:rFonts w:ascii="Tw Cen MT" w:hAnsi="Tw Cen MT"/>
        </w:rPr>
        <w:t>dodecyl</w:t>
      </w:r>
      <w:proofErr w:type="spellEnd"/>
      <w:r w:rsidRPr="00CD6443">
        <w:rPr>
          <w:rFonts w:ascii="Tw Cen MT" w:hAnsi="Tw Cen MT"/>
        </w:rPr>
        <w:t xml:space="preserve"> amine which increases the interfacial interaction with the NR matrix. These amine functionalised GO based NR </w:t>
      </w:r>
      <w:proofErr w:type="spellStart"/>
      <w:r w:rsidRPr="00CD6443">
        <w:rPr>
          <w:rFonts w:ascii="Tw Cen MT" w:hAnsi="Tw Cen MT"/>
        </w:rPr>
        <w:t>nanocomposites</w:t>
      </w:r>
      <w:proofErr w:type="spellEnd"/>
      <w:r w:rsidRPr="00CD6443">
        <w:rPr>
          <w:rFonts w:ascii="Tw Cen MT" w:hAnsi="Tw Cen MT"/>
        </w:rPr>
        <w:t xml:space="preserve"> find applications in coating</w:t>
      </w:r>
      <w:r w:rsidR="00C751E4">
        <w:rPr>
          <w:rFonts w:ascii="Tw Cen MT" w:hAnsi="Tw Cen MT"/>
        </w:rPr>
        <w:t>s</w:t>
      </w:r>
      <w:r w:rsidRPr="00CD6443">
        <w:rPr>
          <w:rFonts w:ascii="Tw Cen MT" w:hAnsi="Tw Cen MT"/>
        </w:rPr>
        <w:t xml:space="preserve">, automotives, aerospace and </w:t>
      </w:r>
      <w:r w:rsidR="00C751E4">
        <w:rPr>
          <w:rFonts w:ascii="Tw Cen MT" w:hAnsi="Tw Cen MT"/>
        </w:rPr>
        <w:t xml:space="preserve">as </w:t>
      </w:r>
      <w:r w:rsidRPr="00CD6443">
        <w:rPr>
          <w:rFonts w:ascii="Tw Cen MT" w:hAnsi="Tw Cen MT"/>
        </w:rPr>
        <w:t>dielectric materials for electronic appliances</w:t>
      </w:r>
      <w:r w:rsidRPr="000655E9">
        <w:t xml:space="preserve">. </w:t>
      </w:r>
    </w:p>
    <w:p w:rsidR="00CD6443" w:rsidRDefault="00CD6443" w:rsidP="00CD6443">
      <w:pPr>
        <w:pStyle w:val="Heading3"/>
        <w:spacing w:before="147"/>
        <w:jc w:val="both"/>
      </w:pPr>
    </w:p>
    <w:p w:rsidR="00CD6443" w:rsidRPr="007D3A55" w:rsidRDefault="004A743F" w:rsidP="00FA1494">
      <w:pPr>
        <w:pStyle w:val="Heading3"/>
        <w:spacing w:before="74"/>
        <w:ind w:left="0"/>
        <w:jc w:val="center"/>
        <w:rPr>
          <w:color w:val="BF5A14"/>
        </w:rPr>
      </w:pPr>
      <w:r>
        <w:rPr>
          <w:color w:val="BF5A14"/>
        </w:rPr>
        <w:t>Graphical Abstract</w:t>
      </w:r>
    </w:p>
    <w:p w:rsidR="00CD6443" w:rsidRDefault="00FA1494" w:rsidP="00CD6443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1390015</wp:posOffset>
            </wp:positionH>
            <wp:positionV relativeFrom="paragraph">
              <wp:posOffset>43815</wp:posOffset>
            </wp:positionV>
            <wp:extent cx="3686810" cy="2764155"/>
            <wp:effectExtent l="19050" t="0" r="8890" b="0"/>
            <wp:wrapTight wrapText="bothSides">
              <wp:wrapPolygon edited="0">
                <wp:start x="-112" y="0"/>
                <wp:lineTo x="-112" y="21436"/>
                <wp:lineTo x="21652" y="21436"/>
                <wp:lineTo x="21652" y="0"/>
                <wp:lineTo x="-112" y="0"/>
              </wp:wrapPolygon>
            </wp:wrapTight>
            <wp:docPr id="2" name="Picture 1" descr="C:\Users\KUFOS\Desktop\Graphical Abstract_Fina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FOS\Desktop\Graphical Abstract_Final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10" cy="276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6443" w:rsidRDefault="00CD6443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FA1494" w:rsidRDefault="00FA1494" w:rsidP="00CD6443">
      <w:pPr>
        <w:spacing w:line="204" w:lineRule="exact"/>
        <w:rPr>
          <w:rFonts w:ascii="Arial"/>
          <w:b/>
          <w:color w:val="BF5A14"/>
          <w:sz w:val="20"/>
        </w:rPr>
      </w:pPr>
    </w:p>
    <w:p w:rsidR="00CD6443" w:rsidRPr="00FA1494" w:rsidRDefault="00CD6443" w:rsidP="00FA1494">
      <w:pPr>
        <w:widowControl/>
        <w:spacing w:after="200" w:line="276" w:lineRule="auto"/>
        <w:rPr>
          <w:rFonts w:ascii="Arial"/>
          <w:b/>
          <w:color w:val="BF5A14"/>
          <w:sz w:val="20"/>
        </w:rPr>
      </w:pPr>
      <w:r w:rsidRPr="00FA1494">
        <w:rPr>
          <w:rFonts w:ascii="Arial" w:hAnsi="Arial" w:cs="Arial"/>
          <w:b/>
          <w:color w:val="BF5A14"/>
          <w:sz w:val="20"/>
          <w:szCs w:val="20"/>
        </w:rPr>
        <w:t xml:space="preserve">Recent Publications </w:t>
      </w:r>
    </w:p>
    <w:p w:rsidR="00CD6443" w:rsidRPr="00FA1494" w:rsidRDefault="00CD6443" w:rsidP="00FA1494">
      <w:pPr>
        <w:pStyle w:val="ListParagraph"/>
        <w:numPr>
          <w:ilvl w:val="0"/>
          <w:numId w:val="2"/>
        </w:numPr>
        <w:spacing w:before="0" w:line="240" w:lineRule="auto"/>
        <w:rPr>
          <w:rFonts w:ascii="Arial" w:hAnsi="Arial" w:cs="Arial"/>
          <w:sz w:val="20"/>
          <w:szCs w:val="20"/>
        </w:rPr>
      </w:pPr>
      <w:r w:rsidRPr="00FA1494">
        <w:rPr>
          <w:rFonts w:ascii="Arial" w:hAnsi="Arial" w:cs="Arial"/>
          <w:sz w:val="20"/>
          <w:szCs w:val="20"/>
        </w:rPr>
        <w:t xml:space="preserve">Wang, Z.H.; Liu, J.; Wu, S.Z., Wang, W.C.; Zhang, L.Q. “Novel percolation phenomena and mechanism of strengthening </w:t>
      </w:r>
      <w:proofErr w:type="spellStart"/>
      <w:r w:rsidRPr="00FA1494">
        <w:rPr>
          <w:rFonts w:ascii="Arial" w:hAnsi="Arial" w:cs="Arial"/>
          <w:sz w:val="20"/>
          <w:szCs w:val="20"/>
        </w:rPr>
        <w:t>elastomers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by </w:t>
      </w:r>
      <w:proofErr w:type="spellStart"/>
      <w:r w:rsidRPr="00FA1494">
        <w:rPr>
          <w:rFonts w:ascii="Arial" w:hAnsi="Arial" w:cs="Arial"/>
          <w:sz w:val="20"/>
          <w:szCs w:val="20"/>
        </w:rPr>
        <w:t>nanofillers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”. Phys. Chem. Chem. Phys. </w:t>
      </w:r>
      <w:r w:rsidRPr="00FA1494">
        <w:rPr>
          <w:rFonts w:ascii="Arial" w:hAnsi="Arial" w:cs="Arial"/>
          <w:b/>
          <w:sz w:val="20"/>
          <w:szCs w:val="20"/>
        </w:rPr>
        <w:t>2010</w:t>
      </w:r>
      <w:r w:rsidRPr="00FA1494">
        <w:rPr>
          <w:rFonts w:ascii="Arial" w:hAnsi="Arial" w:cs="Arial"/>
          <w:sz w:val="20"/>
          <w:szCs w:val="20"/>
        </w:rPr>
        <w:t>, 12, 1.</w:t>
      </w:r>
    </w:p>
    <w:p w:rsidR="00CD6443" w:rsidRPr="00FA1494" w:rsidRDefault="00CD6443" w:rsidP="00FA1494">
      <w:pPr>
        <w:pStyle w:val="ListParagraph"/>
        <w:numPr>
          <w:ilvl w:val="0"/>
          <w:numId w:val="2"/>
        </w:numPr>
        <w:spacing w:before="0" w:line="240" w:lineRule="auto"/>
        <w:rPr>
          <w:rFonts w:ascii="Arial" w:hAnsi="Arial" w:cs="Arial"/>
          <w:sz w:val="20"/>
          <w:szCs w:val="20"/>
        </w:rPr>
      </w:pPr>
      <w:r w:rsidRPr="00FA1494">
        <w:rPr>
          <w:rFonts w:ascii="Arial" w:hAnsi="Arial" w:cs="Arial"/>
          <w:sz w:val="20"/>
          <w:szCs w:val="20"/>
        </w:rPr>
        <w:t xml:space="preserve"> J. R. Potts, D. R. Dreyer, C. W. </w:t>
      </w:r>
      <w:proofErr w:type="spellStart"/>
      <w:r w:rsidRPr="00FA1494">
        <w:rPr>
          <w:rFonts w:ascii="Arial" w:hAnsi="Arial" w:cs="Arial"/>
          <w:sz w:val="20"/>
          <w:szCs w:val="20"/>
        </w:rPr>
        <w:t>Bielawski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, barrier and </w:t>
      </w:r>
      <w:proofErr w:type="spellStart"/>
      <w:r w:rsidRPr="00FA1494">
        <w:rPr>
          <w:rFonts w:ascii="Arial" w:hAnsi="Arial" w:cs="Arial"/>
          <w:sz w:val="20"/>
          <w:szCs w:val="20"/>
        </w:rPr>
        <w:t>and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R. </w:t>
      </w:r>
      <w:proofErr w:type="spellStart"/>
      <w:r w:rsidRPr="00FA1494">
        <w:rPr>
          <w:rFonts w:ascii="Arial" w:hAnsi="Arial" w:cs="Arial"/>
          <w:sz w:val="20"/>
          <w:szCs w:val="20"/>
        </w:rPr>
        <w:t>S.Ruoff</w:t>
      </w:r>
      <w:proofErr w:type="gramStart"/>
      <w:r w:rsidRPr="00FA1494">
        <w:rPr>
          <w:rFonts w:ascii="Arial" w:hAnsi="Arial" w:cs="Arial"/>
          <w:sz w:val="20"/>
          <w:szCs w:val="20"/>
        </w:rPr>
        <w:t>,“</w:t>
      </w:r>
      <w:proofErr w:type="gramEnd"/>
      <w:r w:rsidRPr="00FA1494">
        <w:rPr>
          <w:rFonts w:ascii="Arial" w:hAnsi="Arial" w:cs="Arial"/>
          <w:sz w:val="20"/>
          <w:szCs w:val="20"/>
        </w:rPr>
        <w:t>Graphene-basedpolymernanocomposites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,” Polymer, </w:t>
      </w:r>
      <w:r w:rsidRPr="00FA1494">
        <w:rPr>
          <w:rFonts w:ascii="Arial" w:hAnsi="Arial" w:cs="Arial"/>
          <w:b/>
          <w:sz w:val="20"/>
          <w:szCs w:val="20"/>
        </w:rPr>
        <w:t>2011</w:t>
      </w:r>
      <w:r w:rsidRPr="00FA1494">
        <w:rPr>
          <w:rFonts w:ascii="Arial" w:hAnsi="Arial" w:cs="Arial"/>
          <w:sz w:val="20"/>
          <w:szCs w:val="20"/>
        </w:rPr>
        <w:t>, vol. 52, no. 1, pp. 5–25, .</w:t>
      </w:r>
    </w:p>
    <w:p w:rsidR="00CD6443" w:rsidRPr="00FA1494" w:rsidRDefault="00CD6443" w:rsidP="00FA1494">
      <w:pPr>
        <w:pStyle w:val="ListParagraph"/>
        <w:numPr>
          <w:ilvl w:val="0"/>
          <w:numId w:val="2"/>
        </w:numPr>
        <w:spacing w:before="0" w:line="240" w:lineRule="auto"/>
        <w:rPr>
          <w:rFonts w:ascii="Arial" w:hAnsi="Arial" w:cs="Arial"/>
          <w:sz w:val="20"/>
          <w:szCs w:val="20"/>
        </w:rPr>
      </w:pPr>
      <w:r w:rsidRPr="00FA1494">
        <w:rPr>
          <w:rFonts w:ascii="Arial" w:hAnsi="Arial" w:cs="Arial"/>
          <w:sz w:val="20"/>
          <w:szCs w:val="20"/>
        </w:rPr>
        <w:t xml:space="preserve"> Dreyer, D. R. </w:t>
      </w:r>
      <w:r w:rsidRPr="00FA1494">
        <w:rPr>
          <w:rFonts w:ascii="Arial" w:hAnsi="Arial" w:cs="Arial"/>
          <w:i/>
          <w:iCs/>
          <w:sz w:val="20"/>
          <w:szCs w:val="20"/>
        </w:rPr>
        <w:t>et al.</w:t>
      </w:r>
      <w:r w:rsidRPr="00FA1494">
        <w:rPr>
          <w:rFonts w:ascii="Arial" w:hAnsi="Arial" w:cs="Arial"/>
          <w:sz w:val="20"/>
          <w:szCs w:val="20"/>
        </w:rPr>
        <w:t xml:space="preserve"> “The chemistry of </w:t>
      </w:r>
      <w:proofErr w:type="spellStart"/>
      <w:r w:rsidRPr="00FA1494">
        <w:rPr>
          <w:rFonts w:ascii="Arial" w:hAnsi="Arial" w:cs="Arial"/>
          <w:sz w:val="20"/>
          <w:szCs w:val="20"/>
        </w:rPr>
        <w:t>graphene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oxide”. </w:t>
      </w:r>
      <w:r w:rsidRPr="00FA1494">
        <w:rPr>
          <w:rFonts w:ascii="Arial" w:hAnsi="Arial" w:cs="Arial"/>
          <w:i/>
          <w:iCs/>
          <w:sz w:val="20"/>
          <w:szCs w:val="20"/>
        </w:rPr>
        <w:t>Chem. Soc.</w:t>
      </w:r>
      <w:r w:rsidRPr="00FA1494">
        <w:rPr>
          <w:rFonts w:ascii="Arial" w:hAnsi="Arial" w:cs="Arial"/>
          <w:b/>
          <w:iCs/>
          <w:sz w:val="20"/>
          <w:szCs w:val="20"/>
        </w:rPr>
        <w:t>2009</w:t>
      </w:r>
      <w:r w:rsidRPr="00FA1494">
        <w:rPr>
          <w:rFonts w:ascii="Arial" w:hAnsi="Arial" w:cs="Arial"/>
          <w:i/>
          <w:iCs/>
          <w:sz w:val="20"/>
          <w:szCs w:val="20"/>
        </w:rPr>
        <w:t>, Rev.</w:t>
      </w:r>
      <w:r w:rsidRPr="00FA1494">
        <w:rPr>
          <w:rFonts w:ascii="Arial" w:hAnsi="Arial" w:cs="Arial"/>
          <w:sz w:val="20"/>
          <w:szCs w:val="20"/>
        </w:rPr>
        <w:t> </w:t>
      </w:r>
      <w:r w:rsidRPr="00FA1494">
        <w:rPr>
          <w:rFonts w:ascii="Arial" w:hAnsi="Arial" w:cs="Arial"/>
          <w:b/>
          <w:bCs/>
          <w:sz w:val="20"/>
          <w:szCs w:val="20"/>
        </w:rPr>
        <w:t>39</w:t>
      </w:r>
      <w:r w:rsidRPr="00FA1494">
        <w:rPr>
          <w:rFonts w:ascii="Arial" w:hAnsi="Arial" w:cs="Arial"/>
          <w:sz w:val="20"/>
          <w:szCs w:val="20"/>
        </w:rPr>
        <w:t>, 228–240.</w:t>
      </w:r>
    </w:p>
    <w:p w:rsidR="00CD6443" w:rsidRPr="00FA1494" w:rsidRDefault="00CD6443" w:rsidP="00FA1494">
      <w:pPr>
        <w:pStyle w:val="ListParagraph"/>
        <w:numPr>
          <w:ilvl w:val="0"/>
          <w:numId w:val="2"/>
        </w:numPr>
        <w:spacing w:before="0" w:line="240" w:lineRule="auto"/>
        <w:rPr>
          <w:rStyle w:val="reflinks"/>
          <w:rFonts w:ascii="Arial" w:hAnsi="Arial" w:cs="Arial"/>
          <w:sz w:val="20"/>
          <w:szCs w:val="20"/>
        </w:rPr>
      </w:pPr>
      <w:r w:rsidRPr="00FA1494">
        <w:rPr>
          <w:rFonts w:ascii="Arial" w:hAnsi="Arial" w:cs="Arial"/>
          <w:sz w:val="20"/>
          <w:szCs w:val="20"/>
        </w:rPr>
        <w:t xml:space="preserve"> K. K. </w:t>
      </w:r>
      <w:proofErr w:type="spellStart"/>
      <w:r w:rsidRPr="00FA1494">
        <w:rPr>
          <w:rFonts w:ascii="Arial" w:hAnsi="Arial" w:cs="Arial"/>
          <w:sz w:val="20"/>
          <w:szCs w:val="20"/>
        </w:rPr>
        <w:t>Sadasivuni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, D. </w:t>
      </w:r>
      <w:proofErr w:type="spellStart"/>
      <w:r w:rsidRPr="00FA1494">
        <w:rPr>
          <w:rFonts w:ascii="Arial" w:hAnsi="Arial" w:cs="Arial"/>
          <w:sz w:val="20"/>
          <w:szCs w:val="20"/>
        </w:rPr>
        <w:t>Ponnamma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, S. Thomas, and Y. </w:t>
      </w:r>
      <w:proofErr w:type="spellStart"/>
      <w:r w:rsidRPr="00FA1494">
        <w:rPr>
          <w:rFonts w:ascii="Arial" w:hAnsi="Arial" w:cs="Arial"/>
          <w:sz w:val="20"/>
          <w:szCs w:val="20"/>
        </w:rPr>
        <w:t>Grohens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, “Evolution from graphite to </w:t>
      </w:r>
      <w:proofErr w:type="spellStart"/>
      <w:r w:rsidRPr="00FA1494">
        <w:rPr>
          <w:rFonts w:ascii="Arial" w:hAnsi="Arial" w:cs="Arial"/>
          <w:sz w:val="20"/>
          <w:szCs w:val="20"/>
        </w:rPr>
        <w:t>graphene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1494">
        <w:rPr>
          <w:rFonts w:ascii="Arial" w:hAnsi="Arial" w:cs="Arial"/>
          <w:sz w:val="20"/>
          <w:szCs w:val="20"/>
        </w:rPr>
        <w:t>elastomer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composites,” Progress in Polymer Science, </w:t>
      </w:r>
      <w:r w:rsidRPr="00FA1494">
        <w:rPr>
          <w:rFonts w:ascii="Arial" w:hAnsi="Arial" w:cs="Arial"/>
          <w:b/>
          <w:sz w:val="20"/>
          <w:szCs w:val="20"/>
        </w:rPr>
        <w:t>2014</w:t>
      </w:r>
      <w:r w:rsidRPr="00FA1494">
        <w:rPr>
          <w:rFonts w:ascii="Arial" w:hAnsi="Arial" w:cs="Arial"/>
          <w:sz w:val="20"/>
          <w:szCs w:val="20"/>
        </w:rPr>
        <w:t xml:space="preserve"> vol. 39, no. 4, pp. 749–780.</w:t>
      </w:r>
      <w:r w:rsidRPr="00FA1494">
        <w:rPr>
          <w:rStyle w:val="reflinks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CD6443" w:rsidRPr="00FA1494" w:rsidRDefault="00CD6443" w:rsidP="00FA1494">
      <w:pPr>
        <w:pStyle w:val="ListParagraph"/>
        <w:numPr>
          <w:ilvl w:val="0"/>
          <w:numId w:val="2"/>
        </w:numPr>
        <w:spacing w:before="0" w:line="240" w:lineRule="auto"/>
        <w:rPr>
          <w:rFonts w:ascii="Arial" w:hAnsi="Arial" w:cs="Arial"/>
          <w:sz w:val="20"/>
          <w:szCs w:val="20"/>
        </w:rPr>
      </w:pPr>
      <w:r w:rsidRPr="00FA1494">
        <w:rPr>
          <w:rStyle w:val="reflinks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FA1494">
        <w:rPr>
          <w:rFonts w:ascii="Arial" w:hAnsi="Arial" w:cs="Arial"/>
          <w:sz w:val="20"/>
          <w:szCs w:val="20"/>
        </w:rPr>
        <w:t xml:space="preserve">Bhattacharya, M., </w:t>
      </w:r>
      <w:proofErr w:type="spellStart"/>
      <w:r w:rsidRPr="00FA1494">
        <w:rPr>
          <w:rFonts w:ascii="Arial" w:hAnsi="Arial" w:cs="Arial"/>
          <w:sz w:val="20"/>
          <w:szCs w:val="20"/>
        </w:rPr>
        <w:t>Biswas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, S., </w:t>
      </w:r>
      <w:proofErr w:type="spellStart"/>
      <w:r w:rsidRPr="00FA1494">
        <w:rPr>
          <w:rFonts w:ascii="Arial" w:hAnsi="Arial" w:cs="Arial"/>
          <w:sz w:val="20"/>
          <w:szCs w:val="20"/>
        </w:rPr>
        <w:t>Bhowmick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, A.K., “Permeation characteristics and modeling of barrier properties of multifunctional rubber </w:t>
      </w:r>
      <w:proofErr w:type="spellStart"/>
      <w:r w:rsidRPr="00FA1494">
        <w:rPr>
          <w:rFonts w:ascii="Arial" w:hAnsi="Arial" w:cs="Arial"/>
          <w:sz w:val="20"/>
          <w:szCs w:val="20"/>
        </w:rPr>
        <w:t>nanocomposites”.Polymer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FA1494">
        <w:rPr>
          <w:rFonts w:ascii="Arial" w:hAnsi="Arial" w:cs="Arial"/>
          <w:sz w:val="20"/>
          <w:szCs w:val="20"/>
        </w:rPr>
        <w:t>Guildf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) </w:t>
      </w:r>
      <w:r w:rsidR="004E3610" w:rsidRPr="00FA1494">
        <w:rPr>
          <w:rFonts w:ascii="Arial" w:hAnsi="Arial" w:cs="Arial"/>
          <w:b/>
          <w:sz w:val="20"/>
          <w:szCs w:val="20"/>
        </w:rPr>
        <w:t>2011</w:t>
      </w:r>
      <w:proofErr w:type="gramStart"/>
      <w:r w:rsidR="004E3610" w:rsidRPr="00FA1494">
        <w:rPr>
          <w:rFonts w:ascii="Arial" w:hAnsi="Arial" w:cs="Arial"/>
          <w:sz w:val="20"/>
          <w:szCs w:val="20"/>
        </w:rPr>
        <w:t>,</w:t>
      </w:r>
      <w:r w:rsidRPr="00FA1494">
        <w:rPr>
          <w:rFonts w:ascii="Arial" w:hAnsi="Arial" w:cs="Arial"/>
          <w:sz w:val="20"/>
          <w:szCs w:val="20"/>
        </w:rPr>
        <w:t>52</w:t>
      </w:r>
      <w:proofErr w:type="gramEnd"/>
      <w:r w:rsidRPr="00FA1494">
        <w:rPr>
          <w:rFonts w:ascii="Arial" w:hAnsi="Arial" w:cs="Arial"/>
          <w:sz w:val="20"/>
          <w:szCs w:val="20"/>
        </w:rPr>
        <w:t xml:space="preserve">, 1562–1576. </w:t>
      </w:r>
    </w:p>
    <w:p w:rsidR="00CD6443" w:rsidRPr="00FA1494" w:rsidRDefault="00CD6443" w:rsidP="00FA1494">
      <w:pPr>
        <w:pStyle w:val="RSCR02References"/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  <w:sectPr w:rsidR="00CD6443" w:rsidRPr="00FA1494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proofErr w:type="spellStart"/>
      <w:r w:rsidRPr="00FA1494">
        <w:rPr>
          <w:rFonts w:ascii="Arial" w:hAnsi="Arial" w:cs="Arial"/>
          <w:sz w:val="20"/>
          <w:szCs w:val="20"/>
        </w:rPr>
        <w:t>AsoNavaee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1494">
        <w:rPr>
          <w:rFonts w:ascii="Arial" w:hAnsi="Arial" w:cs="Arial"/>
          <w:sz w:val="20"/>
          <w:szCs w:val="20"/>
        </w:rPr>
        <w:t>andAbdollahSalimi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“Efficient amine </w:t>
      </w:r>
      <w:proofErr w:type="spellStart"/>
      <w:r w:rsidRPr="00FA1494">
        <w:rPr>
          <w:rFonts w:ascii="Arial" w:hAnsi="Arial" w:cs="Arial"/>
          <w:sz w:val="20"/>
          <w:szCs w:val="20"/>
        </w:rPr>
        <w:t>functionalisation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of GO through the </w:t>
      </w:r>
      <w:proofErr w:type="spellStart"/>
      <w:r w:rsidRPr="00FA1494">
        <w:rPr>
          <w:rFonts w:ascii="Arial" w:hAnsi="Arial" w:cs="Arial"/>
          <w:sz w:val="20"/>
          <w:szCs w:val="20"/>
        </w:rPr>
        <w:t>Buchererreaction</w:t>
      </w:r>
      <w:proofErr w:type="gramStart"/>
      <w:r w:rsidRPr="00FA1494">
        <w:rPr>
          <w:rFonts w:ascii="Arial" w:hAnsi="Arial" w:cs="Arial"/>
          <w:sz w:val="20"/>
          <w:szCs w:val="20"/>
        </w:rPr>
        <w:t>:an</w:t>
      </w:r>
      <w:proofErr w:type="spellEnd"/>
      <w:proofErr w:type="gramEnd"/>
      <w:r w:rsidRPr="00FA1494">
        <w:rPr>
          <w:rFonts w:ascii="Arial" w:hAnsi="Arial" w:cs="Arial"/>
          <w:sz w:val="20"/>
          <w:szCs w:val="20"/>
        </w:rPr>
        <w:t xml:space="preserve"> extraordinary metal -free </w:t>
      </w:r>
      <w:proofErr w:type="spellStart"/>
      <w:r w:rsidRPr="00FA1494">
        <w:rPr>
          <w:rFonts w:ascii="Arial" w:hAnsi="Arial" w:cs="Arial"/>
          <w:sz w:val="20"/>
          <w:szCs w:val="20"/>
        </w:rPr>
        <w:t>electrocatalyst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for the oxygen </w:t>
      </w:r>
      <w:proofErr w:type="spellStart"/>
      <w:r w:rsidRPr="00FA1494">
        <w:rPr>
          <w:rFonts w:ascii="Arial" w:hAnsi="Arial" w:cs="Arial"/>
          <w:sz w:val="20"/>
          <w:szCs w:val="20"/>
        </w:rPr>
        <w:t>reductionreaction”RSC</w:t>
      </w:r>
      <w:proofErr w:type="spellEnd"/>
      <w:r w:rsidRPr="00FA1494">
        <w:rPr>
          <w:rFonts w:ascii="Arial" w:hAnsi="Arial" w:cs="Arial"/>
          <w:sz w:val="20"/>
          <w:szCs w:val="20"/>
        </w:rPr>
        <w:t xml:space="preserve"> Adv.</w:t>
      </w:r>
      <w:r w:rsidRPr="00FA1494">
        <w:rPr>
          <w:rFonts w:ascii="Arial" w:hAnsi="Arial" w:cs="Arial"/>
          <w:b/>
          <w:sz w:val="20"/>
          <w:szCs w:val="20"/>
        </w:rPr>
        <w:t>2015</w:t>
      </w:r>
      <w:r w:rsidRPr="00FA1494">
        <w:rPr>
          <w:rFonts w:ascii="Arial" w:hAnsi="Arial" w:cs="Arial"/>
          <w:sz w:val="20"/>
          <w:szCs w:val="20"/>
        </w:rPr>
        <w:t>,5,59874-59880.</w:t>
      </w:r>
    </w:p>
    <w:p w:rsidR="00CD6443" w:rsidRDefault="00CD6443" w:rsidP="00CD6443">
      <w:pPr>
        <w:pStyle w:val="BodyText"/>
        <w:rPr>
          <w:rFonts w:ascii="Calibri"/>
          <w:sz w:val="20"/>
        </w:rPr>
      </w:pPr>
    </w:p>
    <w:p w:rsidR="00CD6443" w:rsidRDefault="00CD6443" w:rsidP="00CD6443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CD6443" w:rsidRDefault="00CD6443" w:rsidP="00CD6443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lastRenderedPageBreak/>
        <w:t xml:space="preserve">              </w:t>
      </w:r>
      <w:r>
        <w:rPr>
          <w:rFonts w:ascii="Arial"/>
          <w:color w:val="BF5A14"/>
        </w:rPr>
        <w:t xml:space="preserve">Biography </w:t>
      </w:r>
      <w:r w:rsidR="00B506EE">
        <w:rPr>
          <w:rFonts w:ascii="Arial"/>
          <w:color w:val="BF5A14"/>
        </w:rPr>
        <w:tab/>
      </w:r>
      <w:r w:rsidR="00B506EE">
        <w:rPr>
          <w:rFonts w:ascii="Arial"/>
          <w:color w:val="BF5A14"/>
        </w:rPr>
        <w:tab/>
      </w:r>
      <w:r w:rsidR="00B506EE">
        <w:rPr>
          <w:rFonts w:ascii="Arial"/>
          <w:color w:val="BF5A14"/>
        </w:rPr>
        <w:tab/>
      </w:r>
      <w:r w:rsidR="00B506EE">
        <w:rPr>
          <w:rFonts w:ascii="Arial"/>
          <w:color w:val="BF5A14"/>
        </w:rPr>
        <w:tab/>
      </w:r>
      <w:r w:rsidR="00B506EE">
        <w:rPr>
          <w:rFonts w:ascii="Arial"/>
          <w:color w:val="BF5A14"/>
        </w:rPr>
        <w:tab/>
      </w:r>
      <w:r w:rsidR="00B506EE">
        <w:rPr>
          <w:rFonts w:ascii="Arial"/>
          <w:color w:val="BF5A14"/>
        </w:rPr>
        <w:tab/>
      </w:r>
      <w:r w:rsidR="00B506EE">
        <w:rPr>
          <w:rFonts w:ascii="Calibri" w:hAnsi="Calibri"/>
          <w:noProof/>
          <w:sz w:val="32"/>
          <w:szCs w:val="32"/>
        </w:rPr>
        <w:drawing>
          <wp:inline distT="0" distB="0" distL="0" distR="0">
            <wp:extent cx="914400" cy="1181100"/>
            <wp:effectExtent l="19050" t="0" r="0" b="0"/>
            <wp:docPr id="1" name="Picture 1" descr="11743 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3 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6EE" w:rsidRDefault="00B506EE" w:rsidP="00CD6443">
      <w:pPr>
        <w:spacing w:before="92"/>
        <w:ind w:right="4234"/>
        <w:rPr>
          <w:rFonts w:ascii="Arial"/>
        </w:rPr>
      </w:pPr>
    </w:p>
    <w:p w:rsidR="00CD6443" w:rsidRDefault="005865C7" w:rsidP="00FA1494">
      <w:pPr>
        <w:spacing w:before="62"/>
        <w:ind w:right="340"/>
        <w:jc w:val="both"/>
        <w:rPr>
          <w:rFonts w:ascii="Arial"/>
          <w:sz w:val="14"/>
        </w:rPr>
      </w:pPr>
      <w:proofErr w:type="spellStart"/>
      <w:r>
        <w:rPr>
          <w:rFonts w:ascii="Bookman Old Style" w:hAnsi="Bookman Old Style"/>
          <w:color w:val="222222"/>
          <w:shd w:val="clear" w:color="auto" w:fill="FFFFFF"/>
        </w:rPr>
        <w:t>Dr.Susamma</w:t>
      </w:r>
      <w:proofErr w:type="spellEnd"/>
      <w:proofErr w:type="gramStart"/>
      <w:r>
        <w:rPr>
          <w:rFonts w:ascii="Bookman Old Style" w:hAnsi="Bookman Old Style"/>
          <w:color w:val="222222"/>
          <w:shd w:val="clear" w:color="auto" w:fill="FFFFFF"/>
        </w:rPr>
        <w:t>  </w:t>
      </w:r>
      <w:r w:rsidR="00D07390">
        <w:rPr>
          <w:rFonts w:ascii="Bookman Old Style" w:hAnsi="Bookman Old Style"/>
          <w:color w:val="222222"/>
          <w:shd w:val="clear" w:color="auto" w:fill="FFFFFF"/>
        </w:rPr>
        <w:t>A.P</w:t>
      </w:r>
      <w:proofErr w:type="gramEnd"/>
      <w:r w:rsidR="00D07390">
        <w:rPr>
          <w:rFonts w:ascii="Bookman Old Style" w:hAnsi="Bookman Old Style"/>
          <w:color w:val="222222"/>
          <w:shd w:val="clear" w:color="auto" w:fill="FFFFFF"/>
        </w:rPr>
        <w:t xml:space="preserve"> has over 32</w:t>
      </w:r>
      <w:r>
        <w:rPr>
          <w:rFonts w:ascii="Bookman Old Style" w:hAnsi="Bookman Old Style"/>
          <w:color w:val="222222"/>
          <w:shd w:val="clear" w:color="auto" w:fill="FFFFFF"/>
        </w:rPr>
        <w:t xml:space="preserve"> years’ experience in teaching Chemistry in various colleges </w:t>
      </w:r>
      <w:r w:rsidR="00CA10D8">
        <w:rPr>
          <w:rFonts w:ascii="Bookman Old Style" w:hAnsi="Bookman Old Style"/>
          <w:color w:val="222222"/>
          <w:shd w:val="clear" w:color="auto" w:fill="FFFFFF"/>
        </w:rPr>
        <w:t xml:space="preserve">lecturer/Associate professor, </w:t>
      </w:r>
      <w:r>
        <w:rPr>
          <w:rFonts w:ascii="Bookman Old Style" w:hAnsi="Bookman Old Style"/>
          <w:color w:val="222222"/>
          <w:shd w:val="clear" w:color="auto" w:fill="FFFFFF"/>
        </w:rPr>
        <w:t xml:space="preserve">under Collegiate Education, Government of </w:t>
      </w:r>
      <w:r w:rsidR="00D07390">
        <w:rPr>
          <w:rFonts w:ascii="Bookman Old Style" w:hAnsi="Bookman Old Style"/>
          <w:color w:val="222222"/>
          <w:shd w:val="clear" w:color="auto" w:fill="FFFFFF"/>
        </w:rPr>
        <w:t>Kerala, India</w:t>
      </w:r>
      <w:r>
        <w:rPr>
          <w:rFonts w:ascii="Bookman Old Style" w:hAnsi="Bookman Old Style"/>
          <w:color w:val="222222"/>
          <w:shd w:val="clear" w:color="auto" w:fill="FFFFFF"/>
        </w:rPr>
        <w:t xml:space="preserve">. She had also functioned as an Administrator in education sector by serving as Principal of Government Colleges of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Thrissur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 xml:space="preserve"> and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Thrippunithura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 xml:space="preserve">.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Dr.Susamma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 xml:space="preserve"> had completed her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M.Sc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 xml:space="preserve"> in Chemistry from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S.B.College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 xml:space="preserve">,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Changanassery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 xml:space="preserve"> with Kerala University First Rank and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Ph.D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 xml:space="preserve"> in Polymer </w:t>
      </w:r>
      <w:r w:rsidR="00D07390">
        <w:rPr>
          <w:rFonts w:ascii="Bookman Old Style" w:hAnsi="Bookman Old Style"/>
          <w:color w:val="222222"/>
          <w:shd w:val="clear" w:color="auto" w:fill="FFFFFF"/>
        </w:rPr>
        <w:t>Science</w:t>
      </w:r>
      <w:r>
        <w:rPr>
          <w:rFonts w:ascii="Bookman Old Style" w:hAnsi="Bookman Old Style"/>
          <w:color w:val="222222"/>
          <w:shd w:val="clear" w:color="auto" w:fill="FFFFFF"/>
        </w:rPr>
        <w:t xml:space="preserve"> and Rubber Technology from C</w:t>
      </w:r>
      <w:r w:rsidR="00D07390">
        <w:rPr>
          <w:rFonts w:ascii="Bookman Old Style" w:hAnsi="Bookman Old Style"/>
          <w:color w:val="222222"/>
          <w:shd w:val="clear" w:color="auto" w:fill="FFFFFF"/>
        </w:rPr>
        <w:t>ochin University of Science and Technology (C</w:t>
      </w:r>
      <w:r>
        <w:rPr>
          <w:rFonts w:ascii="Bookman Old Style" w:hAnsi="Bookman Old Style"/>
          <w:color w:val="222222"/>
          <w:shd w:val="clear" w:color="auto" w:fill="FFFFFF"/>
        </w:rPr>
        <w:t>USAT</w:t>
      </w:r>
      <w:r w:rsidR="00D07390">
        <w:rPr>
          <w:rFonts w:ascii="Bookman Old Style" w:hAnsi="Bookman Old Style"/>
          <w:color w:val="222222"/>
          <w:shd w:val="clear" w:color="auto" w:fill="FFFFFF"/>
        </w:rPr>
        <w:t>)</w:t>
      </w:r>
      <w:r>
        <w:rPr>
          <w:rFonts w:ascii="Bookman Old Style" w:hAnsi="Bookman Old Style"/>
          <w:color w:val="222222"/>
          <w:shd w:val="clear" w:color="auto" w:fill="FFFFFF"/>
        </w:rPr>
        <w:t>.  She further perused six months</w:t>
      </w:r>
      <w:r w:rsidR="00D07390">
        <w:rPr>
          <w:rFonts w:ascii="Bookman Old Style" w:hAnsi="Bookman Old Style"/>
          <w:color w:val="222222"/>
          <w:shd w:val="clear" w:color="auto" w:fill="FFFFFF"/>
        </w:rPr>
        <w:t> post</w:t>
      </w:r>
      <w:r>
        <w:rPr>
          <w:rFonts w:ascii="Bookman Old Style" w:hAnsi="Bookman Old Style"/>
          <w:color w:val="222222"/>
          <w:shd w:val="clear" w:color="auto" w:fill="FFFFFF"/>
        </w:rPr>
        <w:t xml:space="preserve"> doctoral research in the Department of Chemical Engineering, </w:t>
      </w:r>
      <w:r w:rsidRPr="00C751E4">
        <w:rPr>
          <w:rFonts w:ascii="Bookman Old Style" w:hAnsi="Bookman Old Style"/>
          <w:b/>
          <w:color w:val="222222"/>
          <w:shd w:val="clear" w:color="auto" w:fill="FFFFFF"/>
        </w:rPr>
        <w:t xml:space="preserve">Imperial College, </w:t>
      </w:r>
      <w:proofErr w:type="gramStart"/>
      <w:r w:rsidRPr="00C751E4">
        <w:rPr>
          <w:rFonts w:ascii="Bookman Old Style" w:hAnsi="Bookman Old Style"/>
          <w:b/>
          <w:color w:val="222222"/>
          <w:shd w:val="clear" w:color="auto" w:fill="FFFFFF"/>
        </w:rPr>
        <w:t>London</w:t>
      </w:r>
      <w:proofErr w:type="gramEnd"/>
      <w:r>
        <w:rPr>
          <w:rFonts w:ascii="Bookman Old Style" w:hAnsi="Bookman Old Style"/>
          <w:color w:val="222222"/>
          <w:shd w:val="clear" w:color="auto" w:fill="FFFFFF"/>
        </w:rPr>
        <w:t>, UK in 2009 through the</w:t>
      </w:r>
      <w:r w:rsidR="00D07390">
        <w:rPr>
          <w:rFonts w:ascii="Bookman Old Style" w:hAnsi="Bookman Old Style"/>
          <w:color w:val="222222"/>
          <w:shd w:val="clear" w:color="auto" w:fill="FFFFFF"/>
        </w:rPr>
        <w:t> </w:t>
      </w:r>
      <w:r w:rsidR="00D07390" w:rsidRPr="00D07390">
        <w:rPr>
          <w:rFonts w:ascii="Bookman Old Style" w:hAnsi="Bookman Old Style"/>
          <w:b/>
          <w:color w:val="222222"/>
          <w:shd w:val="clear" w:color="auto" w:fill="FFFFFF"/>
        </w:rPr>
        <w:t>Commonwealth</w:t>
      </w:r>
      <w:r w:rsidRPr="00D07390">
        <w:rPr>
          <w:rFonts w:ascii="Bookman Old Style" w:hAnsi="Bookman Old Style"/>
          <w:b/>
          <w:color w:val="222222"/>
          <w:shd w:val="clear" w:color="auto" w:fill="FFFFFF"/>
        </w:rPr>
        <w:t xml:space="preserve"> Academic Fellowship</w:t>
      </w:r>
      <w:r w:rsidR="00D07390">
        <w:rPr>
          <w:rFonts w:ascii="Bookman Old Style" w:hAnsi="Bookman Old Style"/>
          <w:color w:val="222222"/>
          <w:shd w:val="clear" w:color="auto" w:fill="FFFFFF"/>
        </w:rPr>
        <w:t xml:space="preserve"> </w:t>
      </w:r>
      <w:proofErr w:type="spellStart"/>
      <w:r w:rsidR="00D07390">
        <w:rPr>
          <w:rFonts w:ascii="Bookman Old Style" w:hAnsi="Bookman Old Style"/>
          <w:color w:val="222222"/>
          <w:shd w:val="clear" w:color="auto" w:fill="FFFFFF"/>
        </w:rPr>
        <w:t>P</w:t>
      </w:r>
      <w:r>
        <w:rPr>
          <w:rFonts w:ascii="Bookman Old Style" w:hAnsi="Bookman Old Style"/>
          <w:color w:val="222222"/>
          <w:shd w:val="clear" w:color="auto" w:fill="FFFFFF"/>
        </w:rPr>
        <w:t>rogramme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>.  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D</w:t>
      </w:r>
      <w:r w:rsidR="00D07390">
        <w:rPr>
          <w:rFonts w:ascii="Bookman Old Style" w:hAnsi="Bookman Old Style"/>
          <w:color w:val="222222"/>
          <w:shd w:val="clear" w:color="auto" w:fill="FFFFFF"/>
        </w:rPr>
        <w:t>r.Susamma</w:t>
      </w:r>
      <w:proofErr w:type="spellEnd"/>
      <w:r w:rsidR="00D07390">
        <w:rPr>
          <w:rFonts w:ascii="Bookman Old Style" w:hAnsi="Bookman Old Style"/>
          <w:color w:val="222222"/>
          <w:shd w:val="clear" w:color="auto" w:fill="FFFFFF"/>
        </w:rPr>
        <w:t xml:space="preserve"> had ten international research </w:t>
      </w:r>
      <w:r>
        <w:rPr>
          <w:rFonts w:ascii="Bookman Old Style" w:hAnsi="Bookman Old Style"/>
          <w:color w:val="222222"/>
          <w:shd w:val="clear" w:color="auto" w:fill="FFFFFF"/>
        </w:rPr>
        <w:t xml:space="preserve">papers in her credit and is a recognized Research Guide in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M.G.University</w:t>
      </w:r>
      <w:proofErr w:type="spellEnd"/>
      <w:r>
        <w:rPr>
          <w:rFonts w:ascii="Bookman Old Style" w:hAnsi="Bookman Old Style"/>
          <w:color w:val="222222"/>
          <w:shd w:val="clear" w:color="auto" w:fill="FFFFFF"/>
        </w:rPr>
        <w:t xml:space="preserve">, </w:t>
      </w:r>
      <w:proofErr w:type="spellStart"/>
      <w:r>
        <w:rPr>
          <w:rFonts w:ascii="Bookman Old Style" w:hAnsi="Bookman Old Style"/>
          <w:color w:val="222222"/>
          <w:shd w:val="clear" w:color="auto" w:fill="FFFFFF"/>
        </w:rPr>
        <w:t>Kottayam</w:t>
      </w:r>
      <w:proofErr w:type="spellEnd"/>
      <w:r w:rsidR="00CA10D8">
        <w:rPr>
          <w:rFonts w:ascii="Bookman Old Style" w:hAnsi="Bookman Old Style"/>
          <w:color w:val="222222"/>
          <w:shd w:val="clear" w:color="auto" w:fill="FFFFFF"/>
        </w:rPr>
        <w:t xml:space="preserve">, </w:t>
      </w:r>
      <w:proofErr w:type="spellStart"/>
      <w:r w:rsidR="00CA10D8">
        <w:rPr>
          <w:rFonts w:ascii="Bookman Old Style" w:hAnsi="Bookman Old Style"/>
          <w:color w:val="222222"/>
          <w:shd w:val="clear" w:color="auto" w:fill="FFFFFF"/>
        </w:rPr>
        <w:t>Kerala</w:t>
      </w:r>
      <w:proofErr w:type="gramStart"/>
      <w:r w:rsidR="00CA10D8">
        <w:rPr>
          <w:rFonts w:ascii="Bookman Old Style" w:hAnsi="Bookman Old Style"/>
          <w:color w:val="222222"/>
          <w:shd w:val="clear" w:color="auto" w:fill="FFFFFF"/>
        </w:rPr>
        <w:t>,India</w:t>
      </w:r>
      <w:proofErr w:type="spellEnd"/>
      <w:proofErr w:type="gramEnd"/>
      <w:r w:rsidR="00CA10D8">
        <w:rPr>
          <w:rFonts w:ascii="Bookman Old Style" w:hAnsi="Bookman Old Style"/>
          <w:color w:val="222222"/>
          <w:shd w:val="clear" w:color="auto" w:fill="FFFFFF"/>
        </w:rPr>
        <w:t>.</w:t>
      </w:r>
      <w:r>
        <w:rPr>
          <w:rFonts w:ascii="Bookman Old Style" w:hAnsi="Bookman Old Style"/>
          <w:color w:val="222222"/>
          <w:shd w:val="clear" w:color="auto" w:fill="FFFFFF"/>
        </w:rPr>
        <w:t xml:space="preserve"> </w:t>
      </w:r>
      <w:r w:rsidR="00CA10D8">
        <w:rPr>
          <w:rFonts w:ascii="Bookman Old Style" w:hAnsi="Bookman Old Style"/>
          <w:color w:val="222222"/>
          <w:shd w:val="clear" w:color="auto" w:fill="FFFFFF"/>
        </w:rPr>
        <w:t>She is a Reviewer of four I</w:t>
      </w:r>
      <w:r w:rsidR="00D07390">
        <w:rPr>
          <w:rFonts w:ascii="Bookman Old Style" w:hAnsi="Bookman Old Style"/>
          <w:color w:val="222222"/>
          <w:shd w:val="clear" w:color="auto" w:fill="FFFFFF"/>
        </w:rPr>
        <w:t>nternational Peer reviewed Journals.</w:t>
      </w:r>
    </w:p>
    <w:p w:rsidR="00CD6443" w:rsidRDefault="00505255" w:rsidP="00CD6443">
      <w:pPr>
        <w:pStyle w:val="BodyText"/>
        <w:spacing w:before="2"/>
        <w:rPr>
          <w:rFonts w:ascii="Arial"/>
          <w:sz w:val="19"/>
        </w:rPr>
      </w:pPr>
      <w:r w:rsidRPr="00505255">
        <w:rPr>
          <w:noProof/>
          <w:lang w:val="en-IN" w:eastAsia="en-IN"/>
        </w:rPr>
        <w:pict>
          <v:line id="Line 3" o:spid="_x0000_s1028" style="position:absolute;z-index:25166028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CD6443" w:rsidRDefault="00CD6443" w:rsidP="00CD6443">
      <w:pPr>
        <w:pStyle w:val="BodyText"/>
        <w:rPr>
          <w:rFonts w:ascii="Arial"/>
          <w:sz w:val="20"/>
        </w:rPr>
      </w:pPr>
    </w:p>
    <w:p w:rsidR="00CD6443" w:rsidRDefault="00CD6443" w:rsidP="00CD6443">
      <w:pPr>
        <w:pStyle w:val="BodyText"/>
        <w:rPr>
          <w:rFonts w:ascii="Arial"/>
          <w:sz w:val="20"/>
        </w:rPr>
      </w:pPr>
    </w:p>
    <w:p w:rsidR="00CD6443" w:rsidRDefault="00CD6443" w:rsidP="00CD6443">
      <w:pPr>
        <w:pStyle w:val="BodyText"/>
        <w:spacing w:before="7"/>
        <w:rPr>
          <w:rFonts w:ascii="Arial"/>
          <w:sz w:val="29"/>
        </w:rPr>
      </w:pPr>
    </w:p>
    <w:p w:rsidR="0051162E" w:rsidRDefault="0051162E"/>
    <w:sectPr w:rsidR="0051162E" w:rsidSect="0096494A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F04" w:rsidRDefault="00111F04" w:rsidP="000A2FD0">
      <w:r>
        <w:separator/>
      </w:r>
    </w:p>
  </w:endnote>
  <w:endnote w:type="continuationSeparator" w:id="0">
    <w:p w:rsidR="00111F04" w:rsidRDefault="00111F04" w:rsidP="000A2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05255">
    <w:pPr>
      <w:pStyle w:val="BodyText"/>
      <w:spacing w:line="14" w:lineRule="auto"/>
      <w:rPr>
        <w:sz w:val="20"/>
      </w:rPr>
    </w:pPr>
    <w:r w:rsidRPr="0050525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124223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124223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05255">
      <w:rPr>
        <w:noProof/>
        <w:lang w:val="en-IN" w:eastAsia="en-IN"/>
      </w:rPr>
      <w:pict>
        <v:shape id="Text Box 2" o:spid="_x0000_s2052" type="#_x0000_t202" style="position:absolute;margin-left:252.1pt;margin-top:799.05pt;width:91.9pt;height:24.9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124223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124223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05255">
      <w:rPr>
        <w:noProof/>
        <w:lang w:val="en-IN" w:eastAsia="en-IN"/>
      </w:rPr>
      <w:pict>
        <v:shape id="Text Box 1" o:spid="_x0000_s2053" type="#_x0000_t202" style="position:absolute;margin-left:468.9pt;margin-top:798.8pt;width:91.4pt;height:26.0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124223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124223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F04" w:rsidRDefault="00111F04" w:rsidP="000A2FD0">
      <w:r>
        <w:separator/>
      </w:r>
    </w:p>
  </w:footnote>
  <w:footnote w:type="continuationSeparator" w:id="0">
    <w:p w:rsidR="00111F04" w:rsidRDefault="00111F04" w:rsidP="000A2F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05255">
    <w:pPr>
      <w:pStyle w:val="BodyText"/>
      <w:spacing w:line="14" w:lineRule="auto"/>
      <w:rPr>
        <w:sz w:val="20"/>
      </w:rPr>
    </w:pPr>
    <w:r w:rsidRPr="0050525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124223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05255">
      <w:rPr>
        <w:noProof/>
        <w:lang w:val="en-IN" w:eastAsia="en-IN"/>
      </w:rPr>
      <w:pict>
        <v:shape id="Text Box 4" o:spid="_x0000_s2050" type="#_x0000_t202" style="position:absolute;margin-left:35pt;margin-top:48.3pt;width:515.95pt;height:40.1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124223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124223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4793E"/>
    <w:multiLevelType w:val="hybridMultilevel"/>
    <w:tmpl w:val="1E5E52AA"/>
    <w:lvl w:ilvl="0" w:tplc="A2DA1DF6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C761D8"/>
    <w:multiLevelType w:val="hybridMultilevel"/>
    <w:tmpl w:val="93CC67BA"/>
    <w:lvl w:ilvl="0" w:tplc="B4F490EE">
      <w:start w:val="1"/>
      <w:numFmt w:val="decimal"/>
      <w:lvlText w:val="%1."/>
      <w:lvlJc w:val="left"/>
      <w:pPr>
        <w:ind w:left="720" w:hanging="360"/>
      </w:pPr>
      <w:rPr>
        <w:rFonts w:ascii="Arial" w:hint="default"/>
        <w:b/>
        <w:color w:val="BF5A14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D6443"/>
    <w:rsid w:val="000A2FD0"/>
    <w:rsid w:val="00103238"/>
    <w:rsid w:val="00111F04"/>
    <w:rsid w:val="00124223"/>
    <w:rsid w:val="0017308A"/>
    <w:rsid w:val="002D5CB4"/>
    <w:rsid w:val="004A743F"/>
    <w:rsid w:val="004E3610"/>
    <w:rsid w:val="00505255"/>
    <w:rsid w:val="0051162E"/>
    <w:rsid w:val="00553F02"/>
    <w:rsid w:val="005865C7"/>
    <w:rsid w:val="007F205F"/>
    <w:rsid w:val="00B323DA"/>
    <w:rsid w:val="00B506EE"/>
    <w:rsid w:val="00C055D7"/>
    <w:rsid w:val="00C1579A"/>
    <w:rsid w:val="00C26C08"/>
    <w:rsid w:val="00C751E4"/>
    <w:rsid w:val="00CA10D8"/>
    <w:rsid w:val="00CD6443"/>
    <w:rsid w:val="00D07390"/>
    <w:rsid w:val="00E44C76"/>
    <w:rsid w:val="00FA1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443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443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CD6443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D6443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CD6443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CD6443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D6443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CD6443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CD6443"/>
    <w:rPr>
      <w:color w:val="0000FF" w:themeColor="hyperlink"/>
      <w:u w:val="single"/>
    </w:rPr>
  </w:style>
  <w:style w:type="paragraph" w:customStyle="1" w:styleId="RSCB02ArticleText">
    <w:name w:val="RSC B02 Article Text"/>
    <w:basedOn w:val="Normal"/>
    <w:link w:val="RSCB02ArticleTextChar"/>
    <w:qFormat/>
    <w:rsid w:val="00CD6443"/>
    <w:pPr>
      <w:widowControl/>
      <w:spacing w:line="240" w:lineRule="exact"/>
      <w:jc w:val="both"/>
    </w:pPr>
    <w:rPr>
      <w:rFonts w:ascii="Times New Roman" w:eastAsia="Calibri" w:hAnsi="Times New Roman" w:cs="Times New Roman"/>
      <w:w w:val="108"/>
      <w:sz w:val="18"/>
      <w:szCs w:val="18"/>
      <w:lang w:val="en-GB"/>
    </w:rPr>
  </w:style>
  <w:style w:type="character" w:customStyle="1" w:styleId="RSCB02ArticleTextChar">
    <w:name w:val="RSC B02 Article Text Char"/>
    <w:link w:val="RSCB02ArticleText"/>
    <w:rsid w:val="00CD6443"/>
    <w:rPr>
      <w:rFonts w:ascii="Times New Roman" w:eastAsia="Calibri" w:hAnsi="Times New Roman" w:cs="Times New Roman"/>
      <w:w w:val="108"/>
      <w:sz w:val="18"/>
      <w:szCs w:val="18"/>
      <w:lang w:val="en-GB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CD6443"/>
    <w:pPr>
      <w:widowControl/>
      <w:spacing w:after="120" w:line="240" w:lineRule="exact"/>
    </w:pPr>
    <w:rPr>
      <w:rFonts w:ascii="Times New Roman" w:eastAsia="Calibri" w:hAnsi="Times New Roman" w:cs="Times New Roman"/>
      <w:sz w:val="20"/>
      <w:lang w:val="en-GB"/>
    </w:rPr>
  </w:style>
  <w:style w:type="character" w:customStyle="1" w:styleId="RSCH02PaperAuthorsandBylineChar">
    <w:name w:val="RSC H02 Paper Authors and Byline Char"/>
    <w:link w:val="RSCH02PaperAuthorsandByline"/>
    <w:rsid w:val="00CD6443"/>
    <w:rPr>
      <w:rFonts w:ascii="Times New Roman" w:eastAsia="Calibri" w:hAnsi="Times New Roman" w:cs="Times New Roman"/>
      <w:sz w:val="20"/>
      <w:lang w:val="en-GB"/>
    </w:rPr>
  </w:style>
  <w:style w:type="paragraph" w:customStyle="1" w:styleId="RSCR02References">
    <w:name w:val="RSC R02 References"/>
    <w:basedOn w:val="RSCB02ArticleText"/>
    <w:link w:val="RSCR02ReferencesChar"/>
    <w:qFormat/>
    <w:rsid w:val="00CD6443"/>
    <w:pPr>
      <w:numPr>
        <w:numId w:val="1"/>
      </w:numPr>
      <w:spacing w:line="200" w:lineRule="exact"/>
      <w:ind w:left="284" w:hanging="284"/>
    </w:pPr>
    <w:rPr>
      <w:w w:val="105"/>
    </w:rPr>
  </w:style>
  <w:style w:type="character" w:customStyle="1" w:styleId="RSCR02ReferencesChar">
    <w:name w:val="RSC R02 References Char"/>
    <w:link w:val="RSCR02References"/>
    <w:rsid w:val="00CD6443"/>
    <w:rPr>
      <w:rFonts w:ascii="Times New Roman" w:eastAsia="Calibri" w:hAnsi="Times New Roman" w:cs="Times New Roman"/>
      <w:w w:val="105"/>
      <w:sz w:val="18"/>
      <w:szCs w:val="18"/>
      <w:lang w:val="en-GB"/>
    </w:rPr>
  </w:style>
  <w:style w:type="character" w:customStyle="1" w:styleId="reflinks">
    <w:name w:val="reflinks"/>
    <w:basedOn w:val="DefaultParagraphFont"/>
    <w:rsid w:val="00CD6443"/>
  </w:style>
  <w:style w:type="paragraph" w:styleId="BalloonText">
    <w:name w:val="Balloon Text"/>
    <w:basedOn w:val="Normal"/>
    <w:link w:val="BalloonTextChar"/>
    <w:uiPriority w:val="99"/>
    <w:semiHidden/>
    <w:unhideWhenUsed/>
    <w:rsid w:val="00CD6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44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KUFOS</dc:creator>
  <cp:lastModifiedBy>KUFOS</cp:lastModifiedBy>
  <cp:revision>3</cp:revision>
  <cp:lastPrinted>2019-07-19T09:33:00Z</cp:lastPrinted>
  <dcterms:created xsi:type="dcterms:W3CDTF">2019-07-19T04:32:00Z</dcterms:created>
  <dcterms:modified xsi:type="dcterms:W3CDTF">2019-07-19T10:07:00Z</dcterms:modified>
</cp:coreProperties>
</file>