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F6600D" w14:textId="77777777" w:rsidR="00AE3E37" w:rsidRDefault="00BD09F5" w:rsidP="00494130">
      <w:pPr>
        <w:pStyle w:val="Heading1"/>
        <w:spacing w:before="170"/>
        <w:ind w:left="0"/>
      </w:pPr>
      <w:r w:rsidRPr="00BD09F5">
        <w:rPr>
          <w:color w:val="337AB7"/>
        </w:rPr>
        <w:t>Protecting BiVO</w:t>
      </w:r>
      <w:r w:rsidRPr="00BD09F5">
        <w:rPr>
          <w:color w:val="337AB7"/>
          <w:vertAlign w:val="subscript"/>
        </w:rPr>
        <w:t>4</w:t>
      </w:r>
      <w:r w:rsidRPr="00BD09F5">
        <w:rPr>
          <w:color w:val="337AB7"/>
        </w:rPr>
        <w:t xml:space="preserve"> Heterojunction Photoanode for Enhanced Solar-driven Photoelectrochemical Water Splitting with The Incorporation of rGO Interlayer and Electrocatalyst Thin Films </w:t>
      </w:r>
    </w:p>
    <w:p w14:paraId="5DCF98A1" w14:textId="77777777" w:rsidR="00BD09F5" w:rsidRDefault="00BD09F5" w:rsidP="005973B9">
      <w:pPr>
        <w:pStyle w:val="BodyText"/>
        <w:spacing w:before="73" w:line="198" w:lineRule="exact"/>
        <w:ind w:left="100" w:right="5987"/>
        <w:rPr>
          <w:rFonts w:ascii="Arial"/>
        </w:rPr>
      </w:pPr>
    </w:p>
    <w:p w14:paraId="001F4464" w14:textId="77777777" w:rsidR="00BD09F5" w:rsidRDefault="00BD09F5" w:rsidP="005973B9">
      <w:pPr>
        <w:pStyle w:val="BodyText"/>
        <w:spacing w:before="73" w:line="198" w:lineRule="exact"/>
        <w:ind w:left="100" w:right="5987"/>
        <w:rPr>
          <w:rFonts w:ascii="Arial"/>
        </w:rPr>
      </w:pPr>
      <w:r>
        <w:rPr>
          <w:rFonts w:ascii="Arial"/>
        </w:rPr>
        <w:t xml:space="preserve">Meng Nan Chong, School of Engineering, Chemical, , </w:t>
      </w:r>
      <w:r w:rsidRPr="00BD09F5">
        <w:rPr>
          <w:rFonts w:ascii="Arial"/>
        </w:rPr>
        <w:t>Engineering Discipline, Monash University Malaysia, Bandar Sunway, Selangor DE 47500, Malaysia</w:t>
      </w:r>
    </w:p>
    <w:p w14:paraId="4A8F5305" w14:textId="77777777" w:rsidR="00AE3E37" w:rsidRDefault="00AE3E37">
      <w:pPr>
        <w:pStyle w:val="BodyText"/>
        <w:spacing w:before="3"/>
        <w:rPr>
          <w:rFonts w:ascii="Arial"/>
          <w:sz w:val="21"/>
        </w:rPr>
      </w:pPr>
    </w:p>
    <w:p w14:paraId="7770C47A"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3C2E667F" w14:textId="77777777" w:rsidR="00AE3E37" w:rsidRDefault="00A9710C">
      <w:pPr>
        <w:pStyle w:val="Heading3"/>
        <w:spacing w:before="147"/>
        <w:jc w:val="both"/>
      </w:pPr>
      <w:r>
        <w:rPr>
          <w:color w:val="BF5A14"/>
        </w:rPr>
        <w:t>Abstract</w:t>
      </w:r>
      <w:r w:rsidR="00404E5B">
        <w:rPr>
          <w:color w:val="BF5A14"/>
        </w:rPr>
        <w:t xml:space="preserve"> (300 word limit)</w:t>
      </w:r>
    </w:p>
    <w:p w14:paraId="5B1ED872" w14:textId="77777777" w:rsidR="00BD09F5" w:rsidRPr="00BD09F5" w:rsidRDefault="00BD09F5" w:rsidP="00BD09F5">
      <w:pPr>
        <w:spacing w:before="90" w:line="281" w:lineRule="auto"/>
        <w:ind w:left="102"/>
        <w:jc w:val="both"/>
        <w:rPr>
          <w:sz w:val="18"/>
          <w:szCs w:val="18"/>
        </w:rPr>
      </w:pPr>
      <w:r w:rsidRPr="00BD09F5">
        <w:rPr>
          <w:sz w:val="18"/>
          <w:szCs w:val="18"/>
        </w:rPr>
        <w:t>Effective photoelectrochemical (PEC) water splitting to convert solar energy to directly dissociate water molecule into chemical hydrogen energy through semiconductor photocatalysis has attracted considerable attention. BiVO</w:t>
      </w:r>
      <w:r w:rsidRPr="00BD09F5">
        <w:rPr>
          <w:sz w:val="18"/>
          <w:szCs w:val="18"/>
          <w:vertAlign w:val="subscript"/>
        </w:rPr>
        <w:t>4</w:t>
      </w:r>
      <w:r w:rsidRPr="00BD09F5">
        <w:rPr>
          <w:sz w:val="18"/>
          <w:szCs w:val="18"/>
        </w:rPr>
        <w:t xml:space="preserve"> has been investigated as one of the most promising materials for PEC water splitting by harnessing substantial portion of visible light spectrum with its relatively narrow band gap of 2.5 eV. As the performance of BiVO</w:t>
      </w:r>
      <w:r w:rsidRPr="00BD09F5">
        <w:rPr>
          <w:sz w:val="18"/>
          <w:szCs w:val="18"/>
          <w:vertAlign w:val="subscript"/>
        </w:rPr>
        <w:t>4</w:t>
      </w:r>
      <w:r w:rsidRPr="00BD09F5">
        <w:rPr>
          <w:sz w:val="18"/>
          <w:szCs w:val="18"/>
        </w:rPr>
        <w:t xml:space="preserve"> photoanodes continues to improve and explore, the photostability of BiVO</w:t>
      </w:r>
      <w:r w:rsidRPr="00BD09F5">
        <w:rPr>
          <w:sz w:val="18"/>
          <w:szCs w:val="18"/>
          <w:vertAlign w:val="subscript"/>
        </w:rPr>
        <w:t>4</w:t>
      </w:r>
      <w:r w:rsidRPr="00BD09F5">
        <w:rPr>
          <w:sz w:val="18"/>
          <w:szCs w:val="18"/>
        </w:rPr>
        <w:t xml:space="preserve"> becomes an important issue. The photocorrosion of BiVO</w:t>
      </w:r>
      <w:r w:rsidRPr="00BD09F5">
        <w:rPr>
          <w:sz w:val="18"/>
          <w:szCs w:val="18"/>
          <w:vertAlign w:val="subscript"/>
        </w:rPr>
        <w:t>4</w:t>
      </w:r>
      <w:r w:rsidRPr="00BD09F5">
        <w:rPr>
          <w:sz w:val="18"/>
          <w:szCs w:val="18"/>
        </w:rPr>
        <w:t xml:space="preserve"> can be suppressed by increasing the rate of interfacial charge transfer and incorporating a protection layer on the BiVO</w:t>
      </w:r>
      <w:r w:rsidRPr="00BD09F5">
        <w:rPr>
          <w:sz w:val="18"/>
          <w:szCs w:val="18"/>
          <w:vertAlign w:val="subscript"/>
        </w:rPr>
        <w:t>4</w:t>
      </w:r>
      <w:r w:rsidRPr="00BD09F5">
        <w:rPr>
          <w:sz w:val="18"/>
          <w:szCs w:val="18"/>
        </w:rPr>
        <w:t>. In this study, we proposed a rational design of novel vanadium pentoxide (V</w:t>
      </w:r>
      <w:r w:rsidRPr="00BD09F5">
        <w:rPr>
          <w:sz w:val="18"/>
          <w:szCs w:val="18"/>
          <w:vertAlign w:val="subscript"/>
        </w:rPr>
        <w:t>2</w:t>
      </w:r>
      <w:r w:rsidRPr="00BD09F5">
        <w:rPr>
          <w:sz w:val="18"/>
          <w:szCs w:val="18"/>
        </w:rPr>
        <w:t>O</w:t>
      </w:r>
      <w:r w:rsidRPr="00BD09F5">
        <w:rPr>
          <w:sz w:val="18"/>
          <w:szCs w:val="18"/>
          <w:vertAlign w:val="subscript"/>
        </w:rPr>
        <w:t>5</w:t>
      </w:r>
      <w:r w:rsidRPr="00BD09F5">
        <w:rPr>
          <w:sz w:val="18"/>
          <w:szCs w:val="18"/>
        </w:rPr>
        <w:t>)/BiVO</w:t>
      </w:r>
      <w:r w:rsidRPr="00BD09F5">
        <w:rPr>
          <w:sz w:val="18"/>
          <w:szCs w:val="18"/>
          <w:vertAlign w:val="subscript"/>
        </w:rPr>
        <w:t>4</w:t>
      </w:r>
      <w:r w:rsidRPr="00BD09F5">
        <w:rPr>
          <w:sz w:val="18"/>
          <w:szCs w:val="18"/>
        </w:rPr>
        <w:t xml:space="preserve"> heterojunction photoanode structure with reduced graphene oxide (rGO) interlayer and topping with dual transition-metal electrocatalysts (FeOOH and NiOOH) for PEC water splitting. We demonstrated that interlayer rGO enhanced the interfacial charge transfer rate between V</w:t>
      </w:r>
      <w:r w:rsidRPr="00BD09F5">
        <w:rPr>
          <w:sz w:val="18"/>
          <w:szCs w:val="18"/>
          <w:vertAlign w:val="subscript"/>
        </w:rPr>
        <w:t>2</w:t>
      </w:r>
      <w:r w:rsidRPr="00BD09F5">
        <w:rPr>
          <w:sz w:val="18"/>
          <w:szCs w:val="18"/>
        </w:rPr>
        <w:t>O</w:t>
      </w:r>
      <w:r w:rsidRPr="00BD09F5">
        <w:rPr>
          <w:sz w:val="18"/>
          <w:szCs w:val="18"/>
          <w:vertAlign w:val="subscript"/>
        </w:rPr>
        <w:t>5</w:t>
      </w:r>
      <w:r w:rsidRPr="00BD09F5">
        <w:rPr>
          <w:sz w:val="18"/>
          <w:szCs w:val="18"/>
        </w:rPr>
        <w:t xml:space="preserve"> and BiVO</w:t>
      </w:r>
      <w:r w:rsidRPr="00BD09F5">
        <w:rPr>
          <w:sz w:val="18"/>
          <w:szCs w:val="18"/>
          <w:vertAlign w:val="subscript"/>
        </w:rPr>
        <w:t>4</w:t>
      </w:r>
      <w:r w:rsidRPr="00BD09F5">
        <w:rPr>
          <w:sz w:val="18"/>
          <w:szCs w:val="18"/>
        </w:rPr>
        <w:t xml:space="preserve"> which that can kinetically suppressed photocorossion. While the incorporation of FeOOH and NiOOH as the protection layer in preventing the BiVO</w:t>
      </w:r>
      <w:r w:rsidRPr="00BD09F5">
        <w:rPr>
          <w:sz w:val="18"/>
          <w:szCs w:val="18"/>
          <w:vertAlign w:val="subscript"/>
        </w:rPr>
        <w:t>4</w:t>
      </w:r>
      <w:r w:rsidRPr="00BD09F5">
        <w:rPr>
          <w:sz w:val="18"/>
          <w:szCs w:val="18"/>
        </w:rPr>
        <w:t xml:space="preserve"> surface from direct contact with electrolyte. Results showed that the FTO/V</w:t>
      </w:r>
      <w:r w:rsidRPr="00BD09F5">
        <w:rPr>
          <w:sz w:val="18"/>
          <w:szCs w:val="18"/>
          <w:vertAlign w:val="subscript"/>
        </w:rPr>
        <w:t>2</w:t>
      </w:r>
      <w:r w:rsidRPr="00BD09F5">
        <w:rPr>
          <w:sz w:val="18"/>
          <w:szCs w:val="18"/>
        </w:rPr>
        <w:t>O</w:t>
      </w:r>
      <w:r w:rsidRPr="00BD09F5">
        <w:rPr>
          <w:sz w:val="18"/>
          <w:szCs w:val="18"/>
          <w:vertAlign w:val="subscript"/>
        </w:rPr>
        <w:t>5</w:t>
      </w:r>
      <w:r w:rsidRPr="00BD09F5">
        <w:rPr>
          <w:sz w:val="18"/>
          <w:szCs w:val="18"/>
        </w:rPr>
        <w:t>/rGO/BiVO</w:t>
      </w:r>
      <w:r w:rsidRPr="00BD09F5">
        <w:rPr>
          <w:sz w:val="18"/>
          <w:szCs w:val="18"/>
          <w:vertAlign w:val="subscript"/>
        </w:rPr>
        <w:t>4</w:t>
      </w:r>
      <w:r w:rsidRPr="00BD09F5">
        <w:rPr>
          <w:sz w:val="18"/>
          <w:szCs w:val="18"/>
        </w:rPr>
        <w:t>/FeOOH/NiOOH heterojunction photoanode achieved a significantly improved photocurrent density of 3.06 mA/cm</w:t>
      </w:r>
      <w:r w:rsidRPr="00BD09F5">
        <w:rPr>
          <w:sz w:val="18"/>
          <w:szCs w:val="18"/>
          <w:vertAlign w:val="superscript"/>
        </w:rPr>
        <w:t>2</w:t>
      </w:r>
      <w:r w:rsidRPr="00BD09F5">
        <w:rPr>
          <w:sz w:val="18"/>
          <w:szCs w:val="18"/>
        </w:rPr>
        <w:t xml:space="preserve"> at 1.5 V vs Ag/AgCl which is 12.2 times more photoactive than the pristine BiVO</w:t>
      </w:r>
      <w:r w:rsidRPr="00BD09F5">
        <w:rPr>
          <w:sz w:val="18"/>
          <w:szCs w:val="18"/>
          <w:vertAlign w:val="subscript"/>
        </w:rPr>
        <w:t>4</w:t>
      </w:r>
      <w:r w:rsidRPr="00BD09F5">
        <w:rPr>
          <w:sz w:val="18"/>
          <w:szCs w:val="18"/>
        </w:rPr>
        <w:t>. This study provides insights into preventing anodic photocorrosion of BiVO</w:t>
      </w:r>
      <w:r w:rsidRPr="00BD09F5">
        <w:rPr>
          <w:sz w:val="18"/>
          <w:szCs w:val="18"/>
          <w:vertAlign w:val="subscript"/>
        </w:rPr>
        <w:t>4</w:t>
      </w:r>
      <w:r w:rsidRPr="00BD09F5">
        <w:rPr>
          <w:sz w:val="18"/>
          <w:szCs w:val="18"/>
        </w:rPr>
        <w:t xml:space="preserve"> and improving the consumption photogenerated charge carriers for PEC water splitting. </w:t>
      </w:r>
    </w:p>
    <w:p w14:paraId="4962841A" w14:textId="77777777" w:rsidR="007D3A55" w:rsidRDefault="00A9710C" w:rsidP="007D3A55">
      <w:pPr>
        <w:pStyle w:val="Heading3"/>
        <w:spacing w:before="74"/>
        <w:ind w:left="0"/>
        <w:rPr>
          <w:color w:val="BF5A14"/>
        </w:rPr>
      </w:pPr>
      <w:r>
        <w:rPr>
          <w:color w:val="BF5A14"/>
        </w:rPr>
        <w:t>Image</w:t>
      </w:r>
    </w:p>
    <w:p w14:paraId="6372A87E" w14:textId="77777777" w:rsidR="007D3A55" w:rsidRPr="007D3A55" w:rsidRDefault="00BD09F5" w:rsidP="00BD09F5">
      <w:pPr>
        <w:pStyle w:val="Heading3"/>
        <w:spacing w:before="74"/>
        <w:ind w:left="0"/>
        <w:jc w:val="center"/>
        <w:rPr>
          <w:color w:val="BF5A14"/>
        </w:rPr>
      </w:pPr>
      <w:r w:rsidRPr="00E81AAF">
        <w:rPr>
          <w:noProof/>
          <w:lang w:val="en-MY" w:eastAsia="en-MY"/>
        </w:rPr>
        <w:drawing>
          <wp:inline distT="0" distB="0" distL="0" distR="0" wp14:anchorId="6421E56F" wp14:editId="036BAED1">
            <wp:extent cx="4230728" cy="1933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l="1762" t="3134" r="3525" b="19658"/>
                    <a:stretch>
                      <a:fillRect/>
                    </a:stretch>
                  </pic:blipFill>
                  <pic:spPr bwMode="auto">
                    <a:xfrm>
                      <a:off x="0" y="0"/>
                      <a:ext cx="4238025" cy="1936910"/>
                    </a:xfrm>
                    <a:prstGeom prst="rect">
                      <a:avLst/>
                    </a:prstGeom>
                    <a:noFill/>
                    <a:ln>
                      <a:noFill/>
                    </a:ln>
                  </pic:spPr>
                </pic:pic>
              </a:graphicData>
            </a:graphic>
          </wp:inline>
        </w:drawing>
      </w:r>
    </w:p>
    <w:p w14:paraId="40B6DBD1" w14:textId="77777777" w:rsidR="00AE3E37" w:rsidRDefault="00AE3E37" w:rsidP="007D3A55">
      <w:pPr>
        <w:pStyle w:val="BodyText"/>
        <w:spacing w:before="2"/>
        <w:jc w:val="center"/>
        <w:rPr>
          <w:rFonts w:ascii="Arial"/>
          <w:b/>
          <w:sz w:val="16"/>
        </w:rPr>
      </w:pPr>
    </w:p>
    <w:p w14:paraId="421BA5EF" w14:textId="77777777" w:rsidR="007D3A55" w:rsidRDefault="007D3A55" w:rsidP="005973B9">
      <w:pPr>
        <w:spacing w:line="204" w:lineRule="exact"/>
        <w:rPr>
          <w:rFonts w:ascii="Arial"/>
          <w:b/>
          <w:color w:val="BF5A14"/>
          <w:sz w:val="20"/>
        </w:rPr>
      </w:pPr>
    </w:p>
    <w:p w14:paraId="39B9A6D4" w14:textId="77777777" w:rsidR="005973B9" w:rsidRDefault="005973B9" w:rsidP="005973B9">
      <w:pPr>
        <w:spacing w:line="204" w:lineRule="exact"/>
        <w:rPr>
          <w:rFonts w:ascii="Arial"/>
          <w:b/>
          <w:sz w:val="20"/>
        </w:rPr>
      </w:pPr>
      <w:r>
        <w:rPr>
          <w:rFonts w:ascii="Arial"/>
          <w:b/>
          <w:color w:val="BF5A14"/>
          <w:sz w:val="20"/>
        </w:rPr>
        <w:t>Recent Publications (minimum 5)</w:t>
      </w:r>
    </w:p>
    <w:p w14:paraId="2241E72A" w14:textId="77777777" w:rsidR="006E79E6" w:rsidRDefault="006E79E6" w:rsidP="006E79E6">
      <w:pPr>
        <w:pStyle w:val="ListParagraph"/>
        <w:numPr>
          <w:ilvl w:val="0"/>
          <w:numId w:val="3"/>
        </w:numPr>
        <w:tabs>
          <w:tab w:val="left" w:pos="384"/>
        </w:tabs>
        <w:spacing w:before="103" w:line="216" w:lineRule="exact"/>
        <w:ind w:right="138"/>
        <w:rPr>
          <w:sz w:val="18"/>
        </w:rPr>
      </w:pPr>
      <w:r>
        <w:rPr>
          <w:sz w:val="18"/>
        </w:rPr>
        <w:t xml:space="preserve">Leong JYC, Balan P, Chong MN, Poh PE (2019) </w:t>
      </w:r>
      <w:r w:rsidRPr="006E79E6">
        <w:rPr>
          <w:sz w:val="18"/>
        </w:rPr>
        <w:t>Life-cycle assessment and life-cycle cost analysis of decentralised rainwater harvesting, greywater recycling and hybrid rainwater-greywater systems</w:t>
      </w:r>
      <w:r>
        <w:rPr>
          <w:sz w:val="18"/>
        </w:rPr>
        <w:t xml:space="preserve">. </w:t>
      </w:r>
      <w:r w:rsidRPr="006E79E6">
        <w:rPr>
          <w:sz w:val="18"/>
        </w:rPr>
        <w:t>J. Clean. Prod.</w:t>
      </w:r>
      <w:r>
        <w:rPr>
          <w:sz w:val="18"/>
        </w:rPr>
        <w:t xml:space="preserve"> 229: 1211-1224.</w:t>
      </w:r>
    </w:p>
    <w:p w14:paraId="554DE90F" w14:textId="77777777" w:rsidR="006E79E6" w:rsidRDefault="006E79E6" w:rsidP="006E79E6">
      <w:pPr>
        <w:pStyle w:val="ListParagraph"/>
        <w:numPr>
          <w:ilvl w:val="0"/>
          <w:numId w:val="3"/>
        </w:numPr>
        <w:tabs>
          <w:tab w:val="left" w:pos="384"/>
        </w:tabs>
        <w:spacing w:before="103" w:line="216" w:lineRule="exact"/>
        <w:ind w:right="138"/>
        <w:rPr>
          <w:sz w:val="18"/>
        </w:rPr>
      </w:pPr>
      <w:r>
        <w:rPr>
          <w:sz w:val="18"/>
        </w:rPr>
        <w:t xml:space="preserve">Yaw CS, Ruan Q, Tang J, Soh AK, Chong MN (2019) </w:t>
      </w:r>
      <w:r w:rsidRPr="006E79E6">
        <w:rPr>
          <w:sz w:val="18"/>
        </w:rPr>
        <w:t>A Type II n-n staggered orthorhombic V</w:t>
      </w:r>
      <w:r w:rsidRPr="006E79E6">
        <w:rPr>
          <w:sz w:val="18"/>
          <w:vertAlign w:val="subscript"/>
        </w:rPr>
        <w:t>2</w:t>
      </w:r>
      <w:r w:rsidRPr="006E79E6">
        <w:rPr>
          <w:sz w:val="18"/>
        </w:rPr>
        <w:t>O</w:t>
      </w:r>
      <w:r w:rsidRPr="006E79E6">
        <w:rPr>
          <w:sz w:val="18"/>
          <w:vertAlign w:val="subscript"/>
        </w:rPr>
        <w:t>5</w:t>
      </w:r>
      <w:r w:rsidRPr="006E79E6">
        <w:rPr>
          <w:sz w:val="18"/>
        </w:rPr>
        <w:t>/monoclinic clinobisvanite BiVO</w:t>
      </w:r>
      <w:r w:rsidRPr="006E79E6">
        <w:rPr>
          <w:sz w:val="18"/>
          <w:vertAlign w:val="subscript"/>
        </w:rPr>
        <w:t>4</w:t>
      </w:r>
      <w:r w:rsidRPr="006E79E6">
        <w:rPr>
          <w:sz w:val="18"/>
        </w:rPr>
        <w:t xml:space="preserve"> heterojunction photoanode for photoelectrochemical water oxidation: Fabrication, characterisation and experimental validation</w:t>
      </w:r>
      <w:r>
        <w:rPr>
          <w:sz w:val="18"/>
        </w:rPr>
        <w:t xml:space="preserve">. </w:t>
      </w:r>
      <w:r w:rsidRPr="006E79E6">
        <w:rPr>
          <w:sz w:val="18"/>
        </w:rPr>
        <w:t>Chem. Eng. Sci.</w:t>
      </w:r>
      <w:r>
        <w:rPr>
          <w:sz w:val="18"/>
        </w:rPr>
        <w:t xml:space="preserve"> 364: 177-185.</w:t>
      </w:r>
    </w:p>
    <w:p w14:paraId="28F2C422" w14:textId="77777777" w:rsidR="006E79E6" w:rsidRDefault="006E79E6" w:rsidP="006E79E6">
      <w:pPr>
        <w:pStyle w:val="ListParagraph"/>
        <w:numPr>
          <w:ilvl w:val="0"/>
          <w:numId w:val="3"/>
        </w:numPr>
        <w:tabs>
          <w:tab w:val="left" w:pos="384"/>
        </w:tabs>
        <w:spacing w:before="103" w:line="216" w:lineRule="exact"/>
        <w:ind w:right="138"/>
        <w:rPr>
          <w:sz w:val="18"/>
        </w:rPr>
      </w:pPr>
      <w:r>
        <w:rPr>
          <w:sz w:val="18"/>
        </w:rPr>
        <w:t xml:space="preserve">Zhu T, Chong MN, Chan ES, Ocon JD (2018) </w:t>
      </w:r>
      <w:r w:rsidRPr="006E79E6">
        <w:rPr>
          <w:sz w:val="18"/>
        </w:rPr>
        <w:t>Electrochemically-synthesized tungstate nanocomposites γ-WO</w:t>
      </w:r>
      <w:r w:rsidRPr="006E79E6">
        <w:rPr>
          <w:sz w:val="18"/>
          <w:vertAlign w:val="subscript"/>
        </w:rPr>
        <w:t>3</w:t>
      </w:r>
      <w:r w:rsidRPr="006E79E6">
        <w:rPr>
          <w:sz w:val="18"/>
        </w:rPr>
        <w:t>/CuWO</w:t>
      </w:r>
      <w:r w:rsidRPr="006E79E6">
        <w:rPr>
          <w:sz w:val="18"/>
          <w:vertAlign w:val="subscript"/>
        </w:rPr>
        <w:t>4</w:t>
      </w:r>
      <w:r w:rsidRPr="006E79E6">
        <w:rPr>
          <w:sz w:val="18"/>
        </w:rPr>
        <w:t xml:space="preserve"> and γ-WO</w:t>
      </w:r>
      <w:r w:rsidRPr="006E79E6">
        <w:rPr>
          <w:sz w:val="18"/>
          <w:vertAlign w:val="subscript"/>
        </w:rPr>
        <w:t>3</w:t>
      </w:r>
      <w:r w:rsidRPr="006E79E6">
        <w:rPr>
          <w:sz w:val="18"/>
        </w:rPr>
        <w:t>/NiWO</w:t>
      </w:r>
      <w:r w:rsidRPr="006E79E6">
        <w:rPr>
          <w:sz w:val="18"/>
          <w:vertAlign w:val="subscript"/>
        </w:rPr>
        <w:t>4</w:t>
      </w:r>
      <w:r w:rsidRPr="006E79E6">
        <w:rPr>
          <w:sz w:val="18"/>
        </w:rPr>
        <w:t xml:space="preserve"> thin films with improved band gap and photoactivity for solar-driven photoelectrochemical water oxidation</w:t>
      </w:r>
      <w:r>
        <w:rPr>
          <w:sz w:val="18"/>
        </w:rPr>
        <w:t xml:space="preserve">. </w:t>
      </w:r>
      <w:r w:rsidRPr="006E79E6">
        <w:rPr>
          <w:sz w:val="18"/>
        </w:rPr>
        <w:t>J. Alloys Compd.</w:t>
      </w:r>
      <w:r>
        <w:rPr>
          <w:sz w:val="18"/>
        </w:rPr>
        <w:t xml:space="preserve"> 762: 90-97.</w:t>
      </w:r>
    </w:p>
    <w:p w14:paraId="045B2479" w14:textId="77777777" w:rsidR="006E79E6" w:rsidRDefault="006E79E6" w:rsidP="006E79E6">
      <w:pPr>
        <w:pStyle w:val="ListParagraph"/>
        <w:numPr>
          <w:ilvl w:val="0"/>
          <w:numId w:val="3"/>
        </w:numPr>
        <w:tabs>
          <w:tab w:val="left" w:pos="384"/>
        </w:tabs>
        <w:spacing w:before="103" w:line="216" w:lineRule="exact"/>
        <w:ind w:right="138"/>
        <w:rPr>
          <w:sz w:val="18"/>
        </w:rPr>
      </w:pPr>
      <w:r>
        <w:rPr>
          <w:sz w:val="18"/>
        </w:rPr>
        <w:t xml:space="preserve">Zhu T, Chong MN, Chan ES, Ocon JD (2018) </w:t>
      </w:r>
      <w:r w:rsidRPr="006E79E6">
        <w:rPr>
          <w:sz w:val="18"/>
        </w:rPr>
        <w:t>Synthesis and characterisation of a novel bilayer tungsten trioxide nanojunction with different crystal growth orientation for improved photoactivity under visible light irradiation</w:t>
      </w:r>
      <w:r>
        <w:rPr>
          <w:sz w:val="18"/>
        </w:rPr>
        <w:t xml:space="preserve">. </w:t>
      </w:r>
      <w:r w:rsidRPr="006E79E6">
        <w:rPr>
          <w:sz w:val="18"/>
        </w:rPr>
        <w:t>J. Alloys Compd.</w:t>
      </w:r>
      <w:r>
        <w:rPr>
          <w:sz w:val="18"/>
        </w:rPr>
        <w:t xml:space="preserve"> 749: 268-275.</w:t>
      </w:r>
    </w:p>
    <w:p w14:paraId="3792DA73" w14:textId="77777777" w:rsidR="006E79E6" w:rsidRDefault="006E79E6" w:rsidP="006E79E6">
      <w:pPr>
        <w:pStyle w:val="ListParagraph"/>
        <w:numPr>
          <w:ilvl w:val="0"/>
          <w:numId w:val="3"/>
        </w:numPr>
        <w:tabs>
          <w:tab w:val="left" w:pos="384"/>
        </w:tabs>
        <w:spacing w:before="103" w:line="216" w:lineRule="exact"/>
        <w:ind w:right="138"/>
        <w:rPr>
          <w:sz w:val="18"/>
        </w:rPr>
      </w:pPr>
      <w:r>
        <w:rPr>
          <w:sz w:val="18"/>
        </w:rPr>
        <w:t xml:space="preserve">Chang JS, Tan JK, Savan NS, Alina M, Jennifer S, Poh PE, Chong MN (2018) </w:t>
      </w:r>
      <w:r w:rsidRPr="006E79E6">
        <w:rPr>
          <w:sz w:val="18"/>
        </w:rPr>
        <w:t>Morphological tunable three-dimensional flower-like zinc oxides with high photoactivity for targeted environmental Remediation: Degradation of emerging micropollutant and radicals trapping experiments</w:t>
      </w:r>
      <w:r>
        <w:rPr>
          <w:sz w:val="18"/>
        </w:rPr>
        <w:t xml:space="preserve">. </w:t>
      </w:r>
      <w:r w:rsidRPr="006E79E6">
        <w:rPr>
          <w:sz w:val="18"/>
        </w:rPr>
        <w:t>J</w:t>
      </w:r>
      <w:r>
        <w:rPr>
          <w:sz w:val="18"/>
        </w:rPr>
        <w:t>.</w:t>
      </w:r>
      <w:r w:rsidRPr="006E79E6">
        <w:rPr>
          <w:sz w:val="18"/>
        </w:rPr>
        <w:t xml:space="preserve"> T</w:t>
      </w:r>
      <w:r>
        <w:rPr>
          <w:sz w:val="18"/>
        </w:rPr>
        <w:t>aiwan</w:t>
      </w:r>
      <w:r w:rsidRPr="006E79E6">
        <w:rPr>
          <w:sz w:val="18"/>
        </w:rPr>
        <w:t xml:space="preserve"> I</w:t>
      </w:r>
      <w:r>
        <w:rPr>
          <w:sz w:val="18"/>
        </w:rPr>
        <w:t>nst.</w:t>
      </w:r>
      <w:r w:rsidRPr="006E79E6">
        <w:rPr>
          <w:sz w:val="18"/>
        </w:rPr>
        <w:t xml:space="preserve"> C</w:t>
      </w:r>
      <w:r>
        <w:rPr>
          <w:sz w:val="18"/>
        </w:rPr>
        <w:t>hem.</w:t>
      </w:r>
      <w:r w:rsidRPr="006E79E6">
        <w:rPr>
          <w:sz w:val="18"/>
        </w:rPr>
        <w:t xml:space="preserve"> E</w:t>
      </w:r>
      <w:r>
        <w:rPr>
          <w:sz w:val="18"/>
        </w:rPr>
        <w:t>. 81: 206-217.</w:t>
      </w:r>
    </w:p>
    <w:p w14:paraId="17D332DD" w14:textId="77777777" w:rsidR="00AE3E37" w:rsidRPr="008756E6" w:rsidRDefault="00AE3E37" w:rsidP="008756E6">
      <w:pPr>
        <w:tabs>
          <w:tab w:val="left" w:pos="384"/>
        </w:tabs>
        <w:ind w:right="117"/>
      </w:pPr>
    </w:p>
    <w:p w14:paraId="1C530DE5"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948DA37" w14:textId="77777777" w:rsidR="00AE3E37" w:rsidRDefault="00AE3E37">
      <w:pPr>
        <w:pStyle w:val="BodyText"/>
        <w:rPr>
          <w:rFonts w:ascii="Calibri"/>
          <w:sz w:val="20"/>
        </w:rPr>
      </w:pPr>
    </w:p>
    <w:p w14:paraId="3AE84985" w14:textId="77777777"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551E3315" wp14:editId="029A9E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DD2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C594F7A" w14:textId="51EC9EF9" w:rsidR="00AE3E37" w:rsidRDefault="008756E6" w:rsidP="00404E5B">
      <w:pPr>
        <w:spacing w:before="92"/>
        <w:ind w:right="4234"/>
        <w:rPr>
          <w:rFonts w:ascii="Arial"/>
        </w:rPr>
      </w:pPr>
      <w:r>
        <w:rPr>
          <w:noProof/>
        </w:rPr>
        <w:lastRenderedPageBreak/>
        <w:t xml:space="preserve">              </w:t>
      </w:r>
      <w:r w:rsidR="006E79E6" w:rsidRPr="00CF6F9D">
        <w:rPr>
          <w:rFonts w:ascii="Times New Roman" w:hAnsi="Times New Roman" w:cs="Times New Roman"/>
          <w:noProof/>
          <w:sz w:val="24"/>
          <w:szCs w:val="24"/>
          <w:lang w:val="en-MY" w:eastAsia="en-MY"/>
        </w:rPr>
        <w:drawing>
          <wp:inline distT="0" distB="0" distL="0" distR="0" wp14:anchorId="00BD51E3" wp14:editId="79FB161B">
            <wp:extent cx="969010" cy="1273175"/>
            <wp:effectExtent l="0" t="0" r="254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69010" cy="1273175"/>
                    </a:xfrm>
                    <a:prstGeom prst="rect">
                      <a:avLst/>
                    </a:prstGeom>
                  </pic:spPr>
                </pic:pic>
              </a:graphicData>
            </a:graphic>
          </wp:inline>
        </w:drawing>
      </w:r>
    </w:p>
    <w:p w14:paraId="094AE533" w14:textId="77777777" w:rsidR="006E79E6" w:rsidRDefault="006E79E6">
      <w:pPr>
        <w:spacing w:before="41" w:line="154" w:lineRule="exact"/>
        <w:ind w:left="213" w:right="231"/>
        <w:jc w:val="both"/>
        <w:rPr>
          <w:rFonts w:ascii="Arial"/>
          <w:sz w:val="14"/>
        </w:rPr>
      </w:pPr>
      <w:r w:rsidRPr="006E79E6">
        <w:rPr>
          <w:rFonts w:ascii="Arial"/>
          <w:sz w:val="14"/>
        </w:rPr>
        <w:t>Meng Nan Chong is an Associate Professor in Chemical Engineering, and a Research Leader for the Sustainable Water Alliance funded by the Advanced Engineering Platform at Monash University Malaysia. He graduated with a Bachelor of Engineering (Chemical) with First Class Honours and a Ph.D from the University of Adelaide, South Australia. Currently he hold</w:t>
      </w:r>
      <w:bookmarkStart w:id="0" w:name="_GoBack"/>
      <w:bookmarkEnd w:id="0"/>
      <w:r w:rsidRPr="006E79E6">
        <w:rPr>
          <w:rFonts w:ascii="Arial"/>
          <w:sz w:val="14"/>
        </w:rPr>
        <w:t>s a number of important visiting positions at universities and research centers around the world, including; (1) Royal Society Newton Advanced Fellowship at University College London, (2) Visiting Professor at University of Ulsan, South Korea, (3) Visiting Professor at University of Philippines Diliman, The Philippines, (4) Visiting Scientist at Max-Planck Institute for Chemical Energy Conversionm Germany, and (5) Adjunct Senior Research Fellow at Centre for Water Management and Reuse, University of South Australia. He also serves in his capacity as an Associate Editor for Water Science &amp; Technology as well as the Founding &amp; Editor- in- Chief for Water Conservation Science &amp; Engineering journals. His research interests are focused on nanotechnology, environmental photocatalysis, sustainable energy &amp; water technology, water resources management and sustainability.</w:t>
      </w:r>
    </w:p>
    <w:p w14:paraId="19477BF8"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6E79E6">
          <w:rPr>
            <w:rStyle w:val="Hyperlink"/>
            <w:rFonts w:ascii="Arial"/>
            <w:sz w:val="14"/>
          </w:rPr>
          <w:t>chong.meng.nan@monash.edu</w:t>
        </w:r>
      </w:hyperlink>
    </w:p>
    <w:p w14:paraId="666B9389" w14:textId="77777777"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14:anchorId="308BF3D4" wp14:editId="0415D3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4955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07E2AF" w14:textId="77777777" w:rsidR="00AE3E37" w:rsidRDefault="00AE3E37">
      <w:pPr>
        <w:pStyle w:val="BodyText"/>
        <w:rPr>
          <w:rFonts w:ascii="Arial"/>
          <w:sz w:val="20"/>
        </w:rPr>
      </w:pPr>
    </w:p>
    <w:p w14:paraId="71902D56" w14:textId="77777777" w:rsidR="00AE3E37" w:rsidRDefault="00AE3E37">
      <w:pPr>
        <w:pStyle w:val="BodyText"/>
        <w:rPr>
          <w:rFonts w:ascii="Arial"/>
          <w:sz w:val="20"/>
        </w:rPr>
      </w:pPr>
    </w:p>
    <w:p w14:paraId="43282D4F" w14:textId="77777777" w:rsidR="00AE3E37" w:rsidRDefault="00AE3E37">
      <w:pPr>
        <w:pStyle w:val="BodyText"/>
        <w:spacing w:before="7"/>
        <w:rPr>
          <w:rFonts w:ascii="Arial"/>
          <w:sz w:val="29"/>
        </w:rPr>
      </w:pPr>
    </w:p>
    <w:p w14:paraId="775F0D48" w14:textId="77777777" w:rsidR="00AE3E37" w:rsidRPr="00B21A57" w:rsidRDefault="00A9710C">
      <w:pPr>
        <w:spacing w:before="39"/>
        <w:ind w:left="100"/>
        <w:rPr>
          <w:rFonts w:ascii="Minion Pro"/>
          <w:b/>
          <w:sz w:val="20"/>
        </w:rPr>
      </w:pPr>
      <w:r w:rsidRPr="00B21A57">
        <w:rPr>
          <w:rFonts w:ascii="Minion Pro"/>
          <w:b/>
          <w:sz w:val="20"/>
        </w:rPr>
        <w:t>Notes/Comments:</w:t>
      </w:r>
    </w:p>
    <w:p w14:paraId="148D7E57"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13349AC3"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CB068" w14:textId="77777777" w:rsidR="005830FE" w:rsidRDefault="005830FE">
      <w:r>
        <w:separator/>
      </w:r>
    </w:p>
  </w:endnote>
  <w:endnote w:type="continuationSeparator" w:id="0">
    <w:p w14:paraId="0F150344" w14:textId="77777777" w:rsidR="005830FE" w:rsidRDefault="00583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BE744" w14:textId="77777777"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14:anchorId="7CF71A28" wp14:editId="2EB37CF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D01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FE38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71A2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45D010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FE382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14:anchorId="36CD390A" wp14:editId="7A12086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527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6DA2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D390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225279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6DA2F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14:anchorId="20D9341B" wp14:editId="47B0BDC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3261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0875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9341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AF3261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0875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38927" w14:textId="77777777" w:rsidR="005830FE" w:rsidRDefault="005830FE">
      <w:r>
        <w:separator/>
      </w:r>
    </w:p>
  </w:footnote>
  <w:footnote w:type="continuationSeparator" w:id="0">
    <w:p w14:paraId="345FF6E3" w14:textId="77777777" w:rsidR="005830FE" w:rsidRDefault="005830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560BF" w14:textId="77777777"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14:anchorId="149B88C6" wp14:editId="2DDACAE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E8B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B88C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26E8B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14:anchorId="3DA7CC60" wp14:editId="6958566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35BC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CCE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7CC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CE35BC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945CCE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749B4"/>
    <w:rsid w:val="00494130"/>
    <w:rsid w:val="004F3523"/>
    <w:rsid w:val="00504920"/>
    <w:rsid w:val="005830FE"/>
    <w:rsid w:val="005973B9"/>
    <w:rsid w:val="005B3A56"/>
    <w:rsid w:val="006060CE"/>
    <w:rsid w:val="0063497F"/>
    <w:rsid w:val="006E79E6"/>
    <w:rsid w:val="00770E30"/>
    <w:rsid w:val="007D3A55"/>
    <w:rsid w:val="00873DF0"/>
    <w:rsid w:val="008756E6"/>
    <w:rsid w:val="00983618"/>
    <w:rsid w:val="009B2D44"/>
    <w:rsid w:val="00A07E82"/>
    <w:rsid w:val="00A527E3"/>
    <w:rsid w:val="00A9710C"/>
    <w:rsid w:val="00AE3E37"/>
    <w:rsid w:val="00B21A57"/>
    <w:rsid w:val="00BD09F5"/>
    <w:rsid w:val="00C33602"/>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DFFABF"/>
  <w15:docId w15:val="{08DA7FB3-9689-460C-9C51-AD7D824C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6E79E6"/>
    <w:rPr>
      <w:sz w:val="16"/>
      <w:szCs w:val="16"/>
    </w:rPr>
  </w:style>
  <w:style w:type="paragraph" w:styleId="CommentText">
    <w:name w:val="annotation text"/>
    <w:basedOn w:val="Normal"/>
    <w:link w:val="CommentTextChar"/>
    <w:uiPriority w:val="99"/>
    <w:semiHidden/>
    <w:unhideWhenUsed/>
    <w:rsid w:val="006E79E6"/>
    <w:rPr>
      <w:sz w:val="20"/>
      <w:szCs w:val="20"/>
    </w:rPr>
  </w:style>
  <w:style w:type="character" w:customStyle="1" w:styleId="CommentTextChar">
    <w:name w:val="Comment Text Char"/>
    <w:basedOn w:val="DefaultParagraphFont"/>
    <w:link w:val="CommentText"/>
    <w:uiPriority w:val="99"/>
    <w:semiHidden/>
    <w:rsid w:val="006E79E6"/>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6E79E6"/>
    <w:rPr>
      <w:b/>
      <w:bCs/>
    </w:rPr>
  </w:style>
  <w:style w:type="character" w:customStyle="1" w:styleId="CommentSubjectChar">
    <w:name w:val="Comment Subject Char"/>
    <w:basedOn w:val="CommentTextChar"/>
    <w:link w:val="CommentSubject"/>
    <w:uiPriority w:val="99"/>
    <w:semiHidden/>
    <w:rsid w:val="006E79E6"/>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6827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Yaw Chong Siang</cp:lastModifiedBy>
  <cp:revision>5</cp:revision>
  <dcterms:created xsi:type="dcterms:W3CDTF">2018-04-04T12:15:00Z</dcterms:created>
  <dcterms:modified xsi:type="dcterms:W3CDTF">2019-07-15T08:09:00Z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