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2EBEF2" w14:textId="77777777" w:rsidR="00AE3E37" w:rsidRDefault="00494783" w:rsidP="00CC003F">
      <w:pPr>
        <w:pStyle w:val="Ttulo1"/>
        <w:spacing w:before="170"/>
        <w:ind w:left="0"/>
        <w:jc w:val="both"/>
      </w:pPr>
      <w:r>
        <w:rPr>
          <w:color w:val="337AB7"/>
        </w:rPr>
        <w:t>Influence of copper s</w:t>
      </w:r>
      <w:r w:rsidRPr="00494783">
        <w:rPr>
          <w:color w:val="337AB7"/>
        </w:rPr>
        <w:t>pecies on anti</w:t>
      </w:r>
      <w:r>
        <w:rPr>
          <w:color w:val="337AB7"/>
        </w:rPr>
        <w:t>-bio</w:t>
      </w:r>
      <w:r w:rsidRPr="00494783">
        <w:rPr>
          <w:color w:val="337AB7"/>
        </w:rPr>
        <w:t xml:space="preserve">fouling </w:t>
      </w:r>
      <w:r>
        <w:rPr>
          <w:color w:val="337AB7"/>
        </w:rPr>
        <w:t>and desalination p</w:t>
      </w:r>
      <w:r w:rsidRPr="00494783">
        <w:rPr>
          <w:color w:val="337AB7"/>
        </w:rPr>
        <w:t xml:space="preserve">erformance </w:t>
      </w:r>
      <w:r>
        <w:rPr>
          <w:color w:val="337AB7"/>
        </w:rPr>
        <w:t xml:space="preserve">of </w:t>
      </w:r>
      <w:r w:rsidR="00CC003F">
        <w:rPr>
          <w:color w:val="337AB7"/>
        </w:rPr>
        <w:t>copper-</w:t>
      </w:r>
      <w:r>
        <w:rPr>
          <w:color w:val="337AB7"/>
        </w:rPr>
        <w:t xml:space="preserve">modified </w:t>
      </w:r>
      <w:r w:rsidRPr="00494783">
        <w:rPr>
          <w:color w:val="337AB7"/>
        </w:rPr>
        <w:t>thin-film composite reverse osmosis membranes</w:t>
      </w:r>
    </w:p>
    <w:p w14:paraId="045FF8D3" w14:textId="08E6E735" w:rsidR="00374891" w:rsidRDefault="00263FB0" w:rsidP="00374891">
      <w:pPr>
        <w:pStyle w:val="Textoindependiente"/>
        <w:spacing w:before="73" w:line="198" w:lineRule="exact"/>
        <w:ind w:left="100" w:right="767"/>
        <w:rPr>
          <w:rFonts w:ascii="Arial"/>
          <w:lang w:val="es-ES"/>
        </w:rPr>
      </w:pPr>
      <w:r w:rsidRPr="00494783">
        <w:rPr>
          <w:rFonts w:ascii="Arial"/>
          <w:lang w:val="es-ES"/>
        </w:rPr>
        <w:t>Andreina</w:t>
      </w:r>
      <w:r w:rsidR="00494783" w:rsidRPr="00494783">
        <w:rPr>
          <w:rFonts w:ascii="Arial"/>
          <w:lang w:val="es-ES"/>
        </w:rPr>
        <w:t xml:space="preserve"> Garc</w:t>
      </w:r>
      <w:r w:rsidR="00494783" w:rsidRPr="00494783">
        <w:rPr>
          <w:rFonts w:ascii="Arial"/>
          <w:lang w:val="es-ES"/>
        </w:rPr>
        <w:t>í</w:t>
      </w:r>
      <w:r w:rsidR="00494783" w:rsidRPr="00494783">
        <w:rPr>
          <w:rFonts w:ascii="Arial"/>
          <w:lang w:val="es-ES"/>
        </w:rPr>
        <w:t>a*</w:t>
      </w:r>
      <w:r w:rsidR="00494783" w:rsidRPr="00374891">
        <w:rPr>
          <w:rFonts w:ascii="Arial"/>
          <w:vertAlign w:val="superscript"/>
          <w:lang w:val="es-ES"/>
        </w:rPr>
        <w:t>1</w:t>
      </w:r>
      <w:r w:rsidR="00494783" w:rsidRPr="00494783">
        <w:rPr>
          <w:rFonts w:ascii="Arial"/>
          <w:lang w:val="es-ES"/>
        </w:rPr>
        <w:t>, Yurieth Quintero</w:t>
      </w:r>
      <w:r w:rsidR="00494783" w:rsidRPr="00374891">
        <w:rPr>
          <w:rFonts w:ascii="Arial"/>
          <w:vertAlign w:val="superscript"/>
          <w:lang w:val="es-ES"/>
        </w:rPr>
        <w:t>1</w:t>
      </w:r>
      <w:r w:rsidRPr="00494783">
        <w:rPr>
          <w:rFonts w:ascii="Arial"/>
          <w:lang w:val="es-ES"/>
        </w:rPr>
        <w:t>,</w:t>
      </w:r>
      <w:r w:rsidR="002A557A">
        <w:rPr>
          <w:rFonts w:ascii="Arial"/>
          <w:lang w:val="es-ES"/>
        </w:rPr>
        <w:t xml:space="preserve"> B</w:t>
      </w:r>
      <w:r w:rsidR="002A557A">
        <w:rPr>
          <w:rFonts w:ascii="Arial"/>
          <w:lang w:val="es-ES"/>
        </w:rPr>
        <w:t>á</w:t>
      </w:r>
      <w:r w:rsidR="002A557A">
        <w:rPr>
          <w:rFonts w:ascii="Arial"/>
          <w:lang w:val="es-ES"/>
        </w:rPr>
        <w:t>rbara Rodriguez</w:t>
      </w:r>
      <w:r w:rsidR="002A557A" w:rsidRPr="002A557A">
        <w:rPr>
          <w:rFonts w:ascii="Arial"/>
          <w:vertAlign w:val="superscript"/>
          <w:lang w:val="es-ES"/>
        </w:rPr>
        <w:t>1</w:t>
      </w:r>
      <w:r w:rsidR="002A557A">
        <w:rPr>
          <w:rFonts w:ascii="Arial"/>
          <w:lang w:val="es-ES"/>
        </w:rPr>
        <w:t>,</w:t>
      </w:r>
      <w:r w:rsidRPr="00494783">
        <w:rPr>
          <w:rFonts w:ascii="Arial"/>
          <w:lang w:val="es-ES"/>
        </w:rPr>
        <w:t xml:space="preserve"> Rodrigo</w:t>
      </w:r>
      <w:r w:rsidR="00494783" w:rsidRPr="00494783">
        <w:rPr>
          <w:rFonts w:ascii="Arial"/>
          <w:lang w:val="es-ES"/>
        </w:rPr>
        <w:t xml:space="preserve"> Quezada</w:t>
      </w:r>
      <w:r w:rsidR="00494783" w:rsidRPr="00374891">
        <w:rPr>
          <w:rFonts w:ascii="Arial"/>
          <w:vertAlign w:val="superscript"/>
          <w:lang w:val="es-ES"/>
        </w:rPr>
        <w:t>1</w:t>
      </w:r>
      <w:r w:rsidR="00374891">
        <w:rPr>
          <w:rFonts w:ascii="Arial"/>
          <w:vertAlign w:val="superscript"/>
          <w:lang w:val="es-ES"/>
        </w:rPr>
        <w:t>-2</w:t>
      </w:r>
      <w:r w:rsidR="00494783" w:rsidRPr="00494783">
        <w:rPr>
          <w:rFonts w:ascii="Arial"/>
          <w:lang w:val="es-ES"/>
        </w:rPr>
        <w:t xml:space="preserve">, </w:t>
      </w:r>
      <w:r w:rsidR="0001764E" w:rsidRPr="00494783">
        <w:rPr>
          <w:rFonts w:ascii="Arial"/>
          <w:lang w:val="es-ES"/>
        </w:rPr>
        <w:t>Jos</w:t>
      </w:r>
      <w:r w:rsidR="0001764E">
        <w:rPr>
          <w:rFonts w:ascii="Arial"/>
          <w:lang w:val="es-ES"/>
        </w:rPr>
        <w:t>é</w:t>
      </w:r>
      <w:r w:rsidR="00494783" w:rsidRPr="00494783">
        <w:rPr>
          <w:rFonts w:ascii="Arial"/>
          <w:lang w:val="es-ES"/>
        </w:rPr>
        <w:t xml:space="preserve"> Duguet</w:t>
      </w:r>
      <w:r w:rsidR="00494783" w:rsidRPr="00374891">
        <w:rPr>
          <w:rFonts w:ascii="Arial"/>
          <w:vertAlign w:val="superscript"/>
          <w:lang w:val="es-ES"/>
        </w:rPr>
        <w:t>2</w:t>
      </w:r>
      <w:r w:rsidR="00494783" w:rsidRPr="00494783">
        <w:rPr>
          <w:rFonts w:ascii="Arial"/>
          <w:lang w:val="es-ES"/>
        </w:rPr>
        <w:t xml:space="preserve">, </w:t>
      </w:r>
      <w:r w:rsidR="004E5DB5" w:rsidRPr="00494783">
        <w:rPr>
          <w:rFonts w:ascii="Arial"/>
          <w:lang w:val="es-ES"/>
        </w:rPr>
        <w:t>Humberto</w:t>
      </w:r>
      <w:r w:rsidR="00494783" w:rsidRPr="00494783">
        <w:rPr>
          <w:rFonts w:ascii="Arial"/>
          <w:lang w:val="es-ES"/>
        </w:rPr>
        <w:t xml:space="preserve"> Estay</w:t>
      </w:r>
      <w:r w:rsidR="00494783" w:rsidRPr="00374891">
        <w:rPr>
          <w:rFonts w:ascii="Arial"/>
          <w:vertAlign w:val="superscript"/>
          <w:lang w:val="es-ES"/>
        </w:rPr>
        <w:t>1</w:t>
      </w:r>
      <w:r w:rsidR="00494783" w:rsidRPr="00494783">
        <w:rPr>
          <w:rFonts w:ascii="Arial"/>
          <w:lang w:val="es-ES"/>
        </w:rPr>
        <w:t xml:space="preserve"> </w:t>
      </w:r>
    </w:p>
    <w:p w14:paraId="70D95EE3" w14:textId="77777777" w:rsidR="005973B9" w:rsidRPr="00494783" w:rsidRDefault="00494783" w:rsidP="00374891">
      <w:pPr>
        <w:pStyle w:val="Textoindependiente"/>
        <w:spacing w:before="73" w:line="198" w:lineRule="exact"/>
        <w:ind w:left="100" w:right="200"/>
        <w:rPr>
          <w:rFonts w:ascii="Arial"/>
        </w:rPr>
      </w:pPr>
      <w:r w:rsidRPr="00374891">
        <w:rPr>
          <w:rFonts w:ascii="Arial"/>
        </w:rPr>
        <w:t>(</w:t>
      </w:r>
      <w:r w:rsidRPr="00374891">
        <w:rPr>
          <w:rFonts w:ascii="Arial"/>
          <w:vertAlign w:val="superscript"/>
        </w:rPr>
        <w:t>1</w:t>
      </w:r>
      <w:r w:rsidRPr="00374891">
        <w:rPr>
          <w:rFonts w:ascii="Arial"/>
        </w:rPr>
        <w:t xml:space="preserve">. </w:t>
      </w:r>
      <w:r w:rsidR="00374891" w:rsidRPr="00374891">
        <w:rPr>
          <w:rFonts w:ascii="Arial"/>
        </w:rPr>
        <w:t xml:space="preserve">Advanced Mining Technology Center (AMTC), University of Chile. </w:t>
      </w:r>
      <w:r w:rsidRPr="00374891">
        <w:rPr>
          <w:rFonts w:ascii="Arial"/>
          <w:vertAlign w:val="superscript"/>
        </w:rPr>
        <w:t>2</w:t>
      </w:r>
      <w:r w:rsidRPr="00494783">
        <w:rPr>
          <w:rFonts w:ascii="Arial"/>
        </w:rPr>
        <w:t xml:space="preserve">. Centre of Biotechnology and Bioengineering (CeBiB), University of Chile) </w:t>
      </w:r>
    </w:p>
    <w:p w14:paraId="5E1A190F" w14:textId="77777777" w:rsidR="00AE3E37" w:rsidRPr="00494783" w:rsidRDefault="00AE3E37">
      <w:pPr>
        <w:pStyle w:val="Textoindependiente"/>
        <w:rPr>
          <w:rFonts w:ascii="Arial"/>
          <w:sz w:val="20"/>
        </w:rPr>
      </w:pPr>
    </w:p>
    <w:p w14:paraId="2A403230" w14:textId="77777777" w:rsidR="00AE3E37" w:rsidRPr="00494783" w:rsidRDefault="00AE3E37">
      <w:pPr>
        <w:pStyle w:val="Textoindependiente"/>
        <w:spacing w:before="3"/>
        <w:rPr>
          <w:rFonts w:ascii="Arial"/>
          <w:sz w:val="21"/>
        </w:rPr>
      </w:pPr>
    </w:p>
    <w:p w14:paraId="7BD217D4" w14:textId="77777777" w:rsidR="00AE3E37" w:rsidRPr="00494783" w:rsidRDefault="00AE3E37">
      <w:pPr>
        <w:rPr>
          <w:rFonts w:ascii="Arial"/>
          <w:sz w:val="21"/>
        </w:rPr>
        <w:sectPr w:rsidR="00AE3E37" w:rsidRPr="00494783" w:rsidSect="007D3A55">
          <w:headerReference w:type="default" r:id="rId7"/>
          <w:footerReference w:type="default" r:id="rId8"/>
          <w:type w:val="continuous"/>
          <w:pgSz w:w="11910" w:h="16840"/>
          <w:pgMar w:top="1740" w:right="600" w:bottom="840" w:left="620" w:header="541" w:footer="642" w:gutter="0"/>
          <w:cols w:space="720"/>
        </w:sectPr>
      </w:pPr>
    </w:p>
    <w:p w14:paraId="45E9094A" w14:textId="77777777" w:rsidR="00AE3E37" w:rsidRDefault="00A9710C">
      <w:pPr>
        <w:pStyle w:val="Ttulo3"/>
        <w:spacing w:before="147"/>
        <w:jc w:val="both"/>
      </w:pPr>
      <w:r>
        <w:rPr>
          <w:color w:val="BF5A14"/>
        </w:rPr>
        <w:lastRenderedPageBreak/>
        <w:t>Abstract</w:t>
      </w:r>
      <w:r w:rsidR="00404E5B">
        <w:rPr>
          <w:color w:val="BF5A14"/>
        </w:rPr>
        <w:t xml:space="preserve"> </w:t>
      </w:r>
    </w:p>
    <w:p w14:paraId="18163DAB" w14:textId="30B9A12E" w:rsidR="006D7EE9" w:rsidRDefault="00E46562" w:rsidP="0001764E">
      <w:pPr>
        <w:pStyle w:val="Textoindependiente"/>
        <w:spacing w:before="90" w:line="280" w:lineRule="auto"/>
        <w:ind w:left="100"/>
        <w:jc w:val="both"/>
      </w:pPr>
      <w:r>
        <w:t xml:space="preserve">The effect of the incorporation </w:t>
      </w:r>
      <w:r w:rsidR="00605238">
        <w:t xml:space="preserve">of copper </w:t>
      </w:r>
      <w:r>
        <w:t xml:space="preserve">nanoparticles </w:t>
      </w:r>
      <w:r w:rsidR="00DB6D20">
        <w:t>(Cu and CuO) and</w:t>
      </w:r>
      <w:r w:rsidR="00605238">
        <w:t xml:space="preserve"> </w:t>
      </w:r>
      <w:r w:rsidR="00DB6D20" w:rsidRPr="00DB6D20">
        <w:t xml:space="preserve">Cu-(m-phenylenediamine) (Cu-mPD) </w:t>
      </w:r>
      <w:r w:rsidR="00605238">
        <w:t>oligomer complex</w:t>
      </w:r>
      <w:r w:rsidR="00DB6D20">
        <w:t xml:space="preserve"> </w:t>
      </w:r>
      <w:r>
        <w:t>in</w:t>
      </w:r>
      <w:r w:rsidR="00605238">
        <w:t>to</w:t>
      </w:r>
      <w:r>
        <w:t xml:space="preserve"> thin-film composite reverse osmosis (</w:t>
      </w:r>
      <w:r w:rsidR="008918B3">
        <w:t>TFC-</w:t>
      </w:r>
      <w:r>
        <w:t>RO) membrane on their anti</w:t>
      </w:r>
      <w:r w:rsidR="00D64F10">
        <w:t>-</w:t>
      </w:r>
      <w:r>
        <w:t>biofouling and desalinization performance have been studied.</w:t>
      </w:r>
      <w:r w:rsidR="00DB6D20">
        <w:t xml:space="preserve"> </w:t>
      </w:r>
      <w:r w:rsidR="006D2C10">
        <w:t>M</w:t>
      </w:r>
      <w:r w:rsidR="006D2C10" w:rsidRPr="00DB6D20">
        <w:t>odified membranes by incorporating</w:t>
      </w:r>
      <w:r w:rsidR="006D2C10">
        <w:t xml:space="preserve"> Cu and CuO </w:t>
      </w:r>
      <w:r w:rsidR="006D2C10" w:rsidRPr="00DB6D20">
        <w:t>nanoparticles during the interfacial polymerization process were</w:t>
      </w:r>
      <w:r w:rsidR="006D2C10">
        <w:t xml:space="preserve"> </w:t>
      </w:r>
      <w:r w:rsidR="006D2C10" w:rsidRPr="00DB6D20">
        <w:t>obtained</w:t>
      </w:r>
      <w:r w:rsidR="006D2C10">
        <w:t xml:space="preserve">. Moreover, </w:t>
      </w:r>
      <w:r w:rsidR="006D2C10" w:rsidRPr="006D2C10">
        <w:rPr>
          <w:i/>
        </w:rPr>
        <w:t>i</w:t>
      </w:r>
      <w:r w:rsidR="006D7EE9" w:rsidRPr="006D2C10">
        <w:rPr>
          <w:i/>
        </w:rPr>
        <w:t>n situ</w:t>
      </w:r>
      <w:r w:rsidR="006D7EE9" w:rsidRPr="006D7EE9">
        <w:t xml:space="preserve"> formation of a</w:t>
      </w:r>
      <w:r w:rsidR="008F3134">
        <w:t>n</w:t>
      </w:r>
      <w:r w:rsidR="006D7EE9" w:rsidRPr="006D7EE9">
        <w:t xml:space="preserve"> </w:t>
      </w:r>
      <w:r w:rsidR="006D7EE9">
        <w:t xml:space="preserve">(Cu-mPD) oligomer complex </w:t>
      </w:r>
      <w:r w:rsidR="006D7EE9" w:rsidRPr="006D7EE9">
        <w:t>from copper chloride during the interfacial polymeri</w:t>
      </w:r>
      <w:r w:rsidR="006D7EE9">
        <w:t xml:space="preserve">zation process was </w:t>
      </w:r>
      <w:r w:rsidR="006D2C10">
        <w:t xml:space="preserve">also </w:t>
      </w:r>
      <w:r w:rsidR="006D7EE9">
        <w:t xml:space="preserve">successfully </w:t>
      </w:r>
      <w:r w:rsidR="006D2C10">
        <w:t xml:space="preserve">employed. </w:t>
      </w:r>
      <w:r w:rsidR="006D7EE9">
        <w:t xml:space="preserve">Membranes were characterized </w:t>
      </w:r>
      <w:r w:rsidR="006D7EE9" w:rsidRPr="006D7EE9">
        <w:t>by field emission scanning electron microsc</w:t>
      </w:r>
      <w:r w:rsidR="006D7EE9">
        <w:t xml:space="preserve">opy, Fourier transform infrared </w:t>
      </w:r>
      <w:r w:rsidR="006D7EE9" w:rsidRPr="006D7EE9">
        <w:t>spectroscopy (FTIR), X-ray photoelectron spectroscopy (XPS), X-ray diffraction</w:t>
      </w:r>
      <w:r w:rsidR="006D7EE9">
        <w:t xml:space="preserve"> </w:t>
      </w:r>
      <w:r w:rsidR="006D7EE9" w:rsidRPr="006D7EE9">
        <w:t>(XRD), atomic force microscopy, and contact ang</w:t>
      </w:r>
      <w:r w:rsidR="006D7EE9">
        <w:t>le measurements. Anti</w:t>
      </w:r>
      <w:r w:rsidR="0001764E">
        <w:t>-</w:t>
      </w:r>
      <w:r w:rsidR="006D7EE9">
        <w:t xml:space="preserve">biofouling </w:t>
      </w:r>
      <w:r w:rsidR="006D7EE9" w:rsidRPr="006D7EE9">
        <w:t>properties were studied using a colony-forming unit</w:t>
      </w:r>
      <w:r w:rsidR="008918B3">
        <w:t xml:space="preserve"> (CFU)</w:t>
      </w:r>
      <w:r w:rsidR="006D7EE9" w:rsidRPr="006D7EE9">
        <w:t xml:space="preserve"> test </w:t>
      </w:r>
      <w:r w:rsidR="008918B3">
        <w:t>in</w:t>
      </w:r>
      <w:r w:rsidR="008918B3" w:rsidRPr="006D7EE9">
        <w:t xml:space="preserve"> </w:t>
      </w:r>
      <w:r w:rsidR="006D7EE9" w:rsidRPr="006D2C10">
        <w:rPr>
          <w:i/>
        </w:rPr>
        <w:t>Escherichia coli</w:t>
      </w:r>
      <w:r w:rsidR="008918B3">
        <w:t xml:space="preserve"> as a model</w:t>
      </w:r>
      <w:r w:rsidR="006D7EE9">
        <w:t xml:space="preserve">. </w:t>
      </w:r>
      <w:r w:rsidR="00855259">
        <w:t>Furthermore</w:t>
      </w:r>
      <w:r w:rsidR="006D7EE9" w:rsidRPr="006D7EE9">
        <w:t>, an anti</w:t>
      </w:r>
      <w:r w:rsidR="006D2C10">
        <w:t>-</w:t>
      </w:r>
      <w:r w:rsidR="006D7EE9" w:rsidRPr="006D7EE9">
        <w:t>adhesion test was developed</w:t>
      </w:r>
      <w:r w:rsidR="006D7EE9">
        <w:t xml:space="preserve"> using fluorescence microscopy. </w:t>
      </w:r>
      <w:r w:rsidR="006D7EE9" w:rsidRPr="006D7EE9">
        <w:t>Membrane performance using a cross-flow cell was eval</w:t>
      </w:r>
      <w:r w:rsidR="006D7EE9">
        <w:t xml:space="preserve">uated, and </w:t>
      </w:r>
      <w:r w:rsidR="0001764E">
        <w:t>copper ion release test</w:t>
      </w:r>
      <w:r w:rsidR="00DB6D20" w:rsidRPr="006D2C10">
        <w:t xml:space="preserve"> in long operation times were carried out</w:t>
      </w:r>
      <w:r w:rsidR="006D7EE9" w:rsidRPr="006D2C10">
        <w:t>.</w:t>
      </w:r>
      <w:r w:rsidR="006D7EE9" w:rsidRPr="006D7EE9">
        <w:t xml:space="preserve"> </w:t>
      </w:r>
      <w:r w:rsidR="006D2C10">
        <w:t>C</w:t>
      </w:r>
      <w:r w:rsidR="006D2C10" w:rsidRPr="006D2C10">
        <w:t xml:space="preserve">haracterization techniques allowed to confirm </w:t>
      </w:r>
      <w:r w:rsidR="006D2C10" w:rsidRPr="006D7EE9">
        <w:t>the formation of</w:t>
      </w:r>
      <w:r w:rsidR="006D2C10" w:rsidRPr="006D2C10">
        <w:t xml:space="preserve"> </w:t>
      </w:r>
      <w:r w:rsidR="006D2C10" w:rsidRPr="006D7EE9">
        <w:t xml:space="preserve">the polyamide </w:t>
      </w:r>
      <w:r w:rsidR="006D2C10">
        <w:t xml:space="preserve">active </w:t>
      </w:r>
      <w:r w:rsidR="006D2C10" w:rsidRPr="006D7EE9">
        <w:t>layer</w:t>
      </w:r>
      <w:r w:rsidR="006D2C10">
        <w:t xml:space="preserve">, </w:t>
      </w:r>
      <w:r w:rsidR="006D2C10" w:rsidRPr="006D2C10">
        <w:t xml:space="preserve">the presence of incorporated copper nanoparticles and the </w:t>
      </w:r>
      <w:r w:rsidR="006D2C10" w:rsidRPr="0001764E">
        <w:rPr>
          <w:i/>
        </w:rPr>
        <w:t>in situ</w:t>
      </w:r>
      <w:r w:rsidR="006D2C10">
        <w:t xml:space="preserve"> formation of the </w:t>
      </w:r>
      <w:r w:rsidR="006D7EE9" w:rsidRPr="006D7EE9">
        <w:t>Cu-mPD oligomer com</w:t>
      </w:r>
      <w:r w:rsidR="006D2C10">
        <w:t>plex. M</w:t>
      </w:r>
      <w:r w:rsidR="00DB6D20">
        <w:t>odified membranes showed a slight decrease in hydrophilicity and higher surface roughness.</w:t>
      </w:r>
      <w:r w:rsidR="00E00D54">
        <w:t xml:space="preserve"> </w:t>
      </w:r>
      <w:r w:rsidR="00005472" w:rsidRPr="00005472">
        <w:t>However, an excellent anti-adhesion and bactericidal</w:t>
      </w:r>
      <w:r w:rsidR="00AC2944">
        <w:t xml:space="preserve"> effect were observed in all cases, being more effective to</w:t>
      </w:r>
      <w:r w:rsidR="00005472" w:rsidRPr="00005472">
        <w:t xml:space="preserve"> Cu nanoparticles and (Cu-mPD) oligomer complex with respect to CuO nanoparticles. The ant</w:t>
      </w:r>
      <w:r w:rsidR="00005472">
        <w:t>i-</w:t>
      </w:r>
      <w:r w:rsidR="00005472" w:rsidRPr="00005472">
        <w:t xml:space="preserve">biofouling </w:t>
      </w:r>
      <w:r w:rsidR="00005472">
        <w:t xml:space="preserve">effect </w:t>
      </w:r>
      <w:r w:rsidR="00005472" w:rsidRPr="00005472">
        <w:t>is attributed to the copper toxicity mainly due to the release of copp</w:t>
      </w:r>
      <w:r w:rsidR="00005472">
        <w:t>er ions, whose release rates were</w:t>
      </w:r>
      <w:r w:rsidR="00005472" w:rsidRPr="00005472">
        <w:t xml:space="preserve"> higher in these two cases </w:t>
      </w:r>
      <w:r w:rsidR="0001764E" w:rsidRPr="0001764E">
        <w:t xml:space="preserve">in comparison with </w:t>
      </w:r>
      <w:r w:rsidR="00005472" w:rsidRPr="00005472">
        <w:t>CuO.</w:t>
      </w:r>
      <w:r w:rsidR="00005472">
        <w:t xml:space="preserve"> Finally, t</w:t>
      </w:r>
      <w:r w:rsidR="006D2C10">
        <w:t>he</w:t>
      </w:r>
      <w:r w:rsidR="00AC2944">
        <w:t xml:space="preserve"> desalination performance of</w:t>
      </w:r>
      <w:r w:rsidR="006D2C10">
        <w:t xml:space="preserve"> </w:t>
      </w:r>
      <w:r w:rsidR="00005472">
        <w:t xml:space="preserve">all </w:t>
      </w:r>
      <w:r w:rsidR="006D2C10">
        <w:t>modified membranes showed an important salt rejection</w:t>
      </w:r>
      <w:r w:rsidR="00BE109D">
        <w:t xml:space="preserve"> (&gt;98%)</w:t>
      </w:r>
      <w:r w:rsidR="006D2C10">
        <w:t xml:space="preserve"> with stable water flux</w:t>
      </w:r>
      <w:r w:rsidR="00BE109D">
        <w:t xml:space="preserve"> (about 30 L.</w:t>
      </w:r>
      <w:r w:rsidR="00BE109D" w:rsidRPr="00BE109D">
        <w:t>m</w:t>
      </w:r>
      <w:r w:rsidR="00BE109D" w:rsidRPr="00BE109D">
        <w:rPr>
          <w:vertAlign w:val="superscript"/>
        </w:rPr>
        <w:t>-2</w:t>
      </w:r>
      <w:r w:rsidR="00BE109D">
        <w:t>.</w:t>
      </w:r>
      <w:r w:rsidR="00BE109D" w:rsidRPr="00BE109D">
        <w:t>h</w:t>
      </w:r>
      <w:r w:rsidR="00BE109D" w:rsidRPr="00BE109D">
        <w:rPr>
          <w:vertAlign w:val="superscript"/>
        </w:rPr>
        <w:t>-1</w:t>
      </w:r>
      <w:r w:rsidR="00BE109D">
        <w:t>)</w:t>
      </w:r>
      <w:r w:rsidR="006D2C10">
        <w:t>.</w:t>
      </w:r>
      <w:r w:rsidR="00005472">
        <w:t xml:space="preserve"> </w:t>
      </w:r>
      <w:r w:rsidR="00E00D54" w:rsidRPr="00494783">
        <w:t xml:space="preserve">In conclusion, </w:t>
      </w:r>
      <w:r w:rsidR="00DD7B3B" w:rsidRPr="00494783">
        <w:t xml:space="preserve">the incorporation of copper </w:t>
      </w:r>
      <w:r w:rsidR="00E00D54" w:rsidRPr="00494783">
        <w:t>into TFC-RO membranes during the interfacial polymerization process is a potential a</w:t>
      </w:r>
      <w:r w:rsidR="00E00D54">
        <w:t>lternative method to improve the anti</w:t>
      </w:r>
      <w:r w:rsidR="00FA6E3D">
        <w:t>-</w:t>
      </w:r>
      <w:r w:rsidR="00E00D54">
        <w:t>biofouling capacities without impairing the performance of the membrane.</w:t>
      </w:r>
    </w:p>
    <w:p w14:paraId="28487E2C" w14:textId="77777777" w:rsidR="006D7EE9" w:rsidRDefault="006D7EE9">
      <w:pPr>
        <w:pStyle w:val="Textoindependiente"/>
        <w:spacing w:before="90" w:line="280" w:lineRule="auto"/>
        <w:ind w:left="100"/>
        <w:jc w:val="both"/>
      </w:pPr>
    </w:p>
    <w:p w14:paraId="001D288B" w14:textId="77777777" w:rsidR="007D3A55" w:rsidRDefault="00A9710C" w:rsidP="007D3A55">
      <w:pPr>
        <w:pStyle w:val="Ttulo3"/>
        <w:spacing w:before="74"/>
        <w:ind w:left="0"/>
        <w:rPr>
          <w:color w:val="BF5A14"/>
        </w:rPr>
      </w:pPr>
      <w:r>
        <w:rPr>
          <w:color w:val="BF5A14"/>
        </w:rPr>
        <w:t>Image</w:t>
      </w:r>
    </w:p>
    <w:p w14:paraId="79A905B4" w14:textId="77777777" w:rsidR="00E46562" w:rsidRDefault="00E46562" w:rsidP="007D3A55">
      <w:pPr>
        <w:pStyle w:val="Ttulo3"/>
        <w:spacing w:before="74"/>
        <w:ind w:left="0"/>
        <w:rPr>
          <w:color w:val="BF5A14"/>
        </w:rPr>
      </w:pPr>
    </w:p>
    <w:p w14:paraId="644CC6D9" w14:textId="77777777" w:rsidR="00E46562" w:rsidRDefault="00E46562" w:rsidP="007D3A55">
      <w:pPr>
        <w:pStyle w:val="Ttulo3"/>
        <w:spacing w:before="74"/>
        <w:ind w:left="0"/>
        <w:rPr>
          <w:color w:val="BF5A14"/>
        </w:rPr>
      </w:pPr>
      <w:r>
        <w:rPr>
          <w:color w:val="BF5A14"/>
        </w:rPr>
        <w:t xml:space="preserve">                                </w:t>
      </w:r>
      <w:r w:rsidRPr="00E46562">
        <w:rPr>
          <w:noProof/>
          <w:color w:val="BF5A14"/>
          <w:lang w:val="es-ES" w:eastAsia="es-ES"/>
        </w:rPr>
        <w:drawing>
          <wp:inline distT="0" distB="0" distL="0" distR="0" wp14:anchorId="48FADFCB" wp14:editId="5B685C5D">
            <wp:extent cx="2410164" cy="1515549"/>
            <wp:effectExtent l="0" t="0" r="0" b="8890"/>
            <wp:docPr id="2" name="Imagen 2" descr="C:\Users\us\Dropbox\Artículo Membrana Sales\Graphical Abstrac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Dropbox\Artículo Membrana Sales\Graphical Abstract.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30936" cy="1528611"/>
                    </a:xfrm>
                    <a:prstGeom prst="rect">
                      <a:avLst/>
                    </a:prstGeom>
                    <a:noFill/>
                    <a:ln>
                      <a:noFill/>
                    </a:ln>
                  </pic:spPr>
                </pic:pic>
              </a:graphicData>
            </a:graphic>
          </wp:inline>
        </w:drawing>
      </w:r>
      <w:r w:rsidRPr="00E46562">
        <w:rPr>
          <w:noProof/>
          <w:color w:val="BF5A14"/>
          <w:lang w:val="es-ES" w:eastAsia="es-ES"/>
        </w:rPr>
        <w:drawing>
          <wp:inline distT="0" distB="0" distL="0" distR="0" wp14:anchorId="4DAC5206" wp14:editId="66D37BC8">
            <wp:extent cx="2109489" cy="1329055"/>
            <wp:effectExtent l="0" t="0" r="5080" b="4445"/>
            <wp:docPr id="3" name="Imagen 3" descr="C:\Users\us\Dropbox\Articulos generados Fondecyt\nuevo 2017\Graphical Abstrac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Dropbox\Articulos generados Fondecyt\nuevo 2017\Graphical Abstract.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24856" cy="1338737"/>
                    </a:xfrm>
                    <a:prstGeom prst="rect">
                      <a:avLst/>
                    </a:prstGeom>
                    <a:noFill/>
                    <a:ln>
                      <a:noFill/>
                    </a:ln>
                  </pic:spPr>
                </pic:pic>
              </a:graphicData>
            </a:graphic>
          </wp:inline>
        </w:drawing>
      </w:r>
    </w:p>
    <w:p w14:paraId="70754FD1" w14:textId="77777777" w:rsidR="00E46562" w:rsidRDefault="00E46562" w:rsidP="007D3A55">
      <w:pPr>
        <w:pStyle w:val="Ttulo3"/>
        <w:spacing w:before="74"/>
        <w:ind w:left="0"/>
        <w:rPr>
          <w:color w:val="BF5A14"/>
        </w:rPr>
      </w:pPr>
      <w:r>
        <w:rPr>
          <w:color w:val="BF5A14"/>
        </w:rPr>
        <w:t xml:space="preserve"> </w:t>
      </w:r>
    </w:p>
    <w:p w14:paraId="5F83EEB9" w14:textId="77777777" w:rsidR="00E46562" w:rsidRDefault="00E46562" w:rsidP="007D3A55">
      <w:pPr>
        <w:pStyle w:val="Ttulo3"/>
        <w:spacing w:before="74"/>
        <w:ind w:left="0"/>
        <w:rPr>
          <w:color w:val="BF5A14"/>
        </w:rPr>
      </w:pPr>
      <w:r>
        <w:rPr>
          <w:color w:val="BF5A14"/>
        </w:rPr>
        <w:t xml:space="preserve"> </w:t>
      </w:r>
    </w:p>
    <w:p w14:paraId="636A1B54" w14:textId="77777777" w:rsidR="00AE3E37" w:rsidRDefault="00AE3E37" w:rsidP="00E03069">
      <w:pPr>
        <w:pStyle w:val="Textoindependiente"/>
        <w:spacing w:before="2"/>
        <w:rPr>
          <w:rFonts w:ascii="Arial"/>
          <w:b/>
          <w:sz w:val="16"/>
        </w:rPr>
      </w:pPr>
    </w:p>
    <w:p w14:paraId="78A74379" w14:textId="77777777" w:rsidR="007D3A55" w:rsidRDefault="007D3A55" w:rsidP="005973B9">
      <w:pPr>
        <w:spacing w:line="204" w:lineRule="exact"/>
        <w:rPr>
          <w:rFonts w:ascii="Arial"/>
          <w:b/>
          <w:color w:val="BF5A14"/>
          <w:sz w:val="20"/>
        </w:rPr>
      </w:pPr>
    </w:p>
    <w:p w14:paraId="43D4709E" w14:textId="77777777" w:rsidR="005973B9" w:rsidRDefault="005973B9" w:rsidP="005973B9">
      <w:pPr>
        <w:spacing w:line="204" w:lineRule="exact"/>
        <w:rPr>
          <w:rFonts w:ascii="Arial"/>
          <w:b/>
          <w:sz w:val="20"/>
        </w:rPr>
      </w:pPr>
      <w:r>
        <w:rPr>
          <w:rFonts w:ascii="Arial"/>
          <w:b/>
          <w:color w:val="BF5A14"/>
          <w:sz w:val="20"/>
        </w:rPr>
        <w:t>Recent Publications (minimum 5)</w:t>
      </w:r>
    </w:p>
    <w:p w14:paraId="47F13A62" w14:textId="77777777" w:rsidR="00D308A8" w:rsidRDefault="00D308A8" w:rsidP="00E03069">
      <w:pPr>
        <w:pStyle w:val="Prrafodelista"/>
        <w:numPr>
          <w:ilvl w:val="0"/>
          <w:numId w:val="3"/>
        </w:numPr>
        <w:tabs>
          <w:tab w:val="left" w:pos="384"/>
        </w:tabs>
        <w:spacing w:before="0" w:line="240" w:lineRule="auto"/>
        <w:ind w:left="380" w:right="136"/>
        <w:rPr>
          <w:sz w:val="18"/>
        </w:rPr>
      </w:pPr>
      <w:r w:rsidRPr="00BE109D">
        <w:rPr>
          <w:sz w:val="18"/>
          <w:lang w:val="es-CL"/>
        </w:rPr>
        <w:t>N</w:t>
      </w:r>
      <w:r w:rsidR="00C42D1F" w:rsidRPr="00BE109D">
        <w:rPr>
          <w:sz w:val="18"/>
          <w:lang w:val="es-CL"/>
        </w:rPr>
        <w:t xml:space="preserve">. Silva, S. Ramírez, I. Díaz, A. </w:t>
      </w:r>
      <w:r w:rsidRPr="00BE109D">
        <w:rPr>
          <w:sz w:val="18"/>
          <w:lang w:val="es-CL"/>
        </w:rPr>
        <w:t xml:space="preserve">Garcia*, </w:t>
      </w:r>
      <w:r w:rsidR="00C42D1F" w:rsidRPr="00BE109D">
        <w:rPr>
          <w:sz w:val="18"/>
          <w:lang w:val="es-CL"/>
        </w:rPr>
        <w:t xml:space="preserve">N. </w:t>
      </w:r>
      <w:r w:rsidRPr="00BE109D">
        <w:rPr>
          <w:sz w:val="18"/>
          <w:lang w:val="es-CL"/>
        </w:rPr>
        <w:t xml:space="preserve">Hassan* (2019). </w:t>
      </w:r>
      <w:r w:rsidRPr="00D308A8">
        <w:rPr>
          <w:sz w:val="18"/>
        </w:rPr>
        <w:t>Easy, Quick, and Reproducible Sonochemical Synthesis of CuO Nanoparticles</w:t>
      </w:r>
      <w:r>
        <w:rPr>
          <w:sz w:val="18"/>
        </w:rPr>
        <w:t>. 12 (5)</w:t>
      </w:r>
      <w:r w:rsidR="00C42D1F">
        <w:rPr>
          <w:sz w:val="18"/>
        </w:rPr>
        <w:t xml:space="preserve">: </w:t>
      </w:r>
      <w:r>
        <w:rPr>
          <w:sz w:val="18"/>
        </w:rPr>
        <w:t xml:space="preserve">804-808. </w:t>
      </w:r>
      <w:r w:rsidRPr="00D308A8">
        <w:rPr>
          <w:sz w:val="18"/>
        </w:rPr>
        <w:t xml:space="preserve"> </w:t>
      </w:r>
    </w:p>
    <w:p w14:paraId="0C59AB67" w14:textId="77777777" w:rsidR="00D308A8" w:rsidRPr="00D308A8" w:rsidRDefault="00C42D1F" w:rsidP="00E03069">
      <w:pPr>
        <w:pStyle w:val="Prrafodelista"/>
        <w:numPr>
          <w:ilvl w:val="0"/>
          <w:numId w:val="3"/>
        </w:numPr>
        <w:tabs>
          <w:tab w:val="left" w:pos="384"/>
        </w:tabs>
        <w:spacing w:before="0" w:line="240" w:lineRule="auto"/>
        <w:ind w:left="380" w:right="136"/>
        <w:rPr>
          <w:sz w:val="18"/>
        </w:rPr>
      </w:pPr>
      <w:r>
        <w:rPr>
          <w:sz w:val="18"/>
          <w:lang w:val="es-ES"/>
        </w:rPr>
        <w:t xml:space="preserve">M. </w:t>
      </w:r>
      <w:r w:rsidR="00D308A8" w:rsidRPr="00C42D1F">
        <w:rPr>
          <w:sz w:val="18"/>
          <w:lang w:val="es-ES"/>
        </w:rPr>
        <w:t>R</w:t>
      </w:r>
      <w:r>
        <w:rPr>
          <w:sz w:val="18"/>
          <w:lang w:val="es-ES"/>
        </w:rPr>
        <w:t>osales, T. Zoltan</w:t>
      </w:r>
      <w:r w:rsidR="00D308A8" w:rsidRPr="00C42D1F">
        <w:rPr>
          <w:sz w:val="18"/>
          <w:lang w:val="es-ES"/>
        </w:rPr>
        <w:t xml:space="preserve">, </w:t>
      </w:r>
      <w:r>
        <w:rPr>
          <w:sz w:val="18"/>
          <w:lang w:val="es-ES"/>
        </w:rPr>
        <w:t xml:space="preserve">C. </w:t>
      </w:r>
      <w:r w:rsidR="00D308A8" w:rsidRPr="00C42D1F">
        <w:rPr>
          <w:sz w:val="18"/>
          <w:lang w:val="es-ES"/>
        </w:rPr>
        <w:t>Yarado</w:t>
      </w:r>
      <w:r>
        <w:rPr>
          <w:sz w:val="18"/>
          <w:lang w:val="es-ES"/>
        </w:rPr>
        <w:t xml:space="preserve">la, F. Gracia, A. García </w:t>
      </w:r>
      <w:r w:rsidRPr="00C42D1F">
        <w:rPr>
          <w:sz w:val="18"/>
          <w:lang w:val="es-ES"/>
        </w:rPr>
        <w:t>(</w:t>
      </w:r>
      <w:r w:rsidR="00D308A8" w:rsidRPr="00C42D1F">
        <w:rPr>
          <w:sz w:val="18"/>
          <w:lang w:val="es-ES"/>
        </w:rPr>
        <w:t>2019</w:t>
      </w:r>
      <w:r w:rsidRPr="00C42D1F">
        <w:rPr>
          <w:sz w:val="18"/>
          <w:lang w:val="es-ES"/>
        </w:rPr>
        <w:t>)</w:t>
      </w:r>
      <w:r w:rsidR="00D308A8" w:rsidRPr="00C42D1F">
        <w:rPr>
          <w:sz w:val="18"/>
          <w:lang w:val="es-ES"/>
        </w:rPr>
        <w:t xml:space="preserve">. </w:t>
      </w:r>
      <w:r w:rsidR="00D308A8" w:rsidRPr="00D308A8">
        <w:rPr>
          <w:sz w:val="18"/>
        </w:rPr>
        <w:t>The influence of the morphology of 1D</w:t>
      </w:r>
      <w:r w:rsidR="00D308A8">
        <w:rPr>
          <w:sz w:val="18"/>
        </w:rPr>
        <w:t xml:space="preserve"> </w:t>
      </w:r>
      <w:r w:rsidR="00D308A8" w:rsidRPr="00D308A8">
        <w:rPr>
          <w:sz w:val="18"/>
        </w:rPr>
        <w:t>TiO2 nanostructures on photogeneration of reactive oxygen species and enhanced photocatalytic activity.</w:t>
      </w:r>
      <w:r w:rsidR="00D308A8">
        <w:rPr>
          <w:sz w:val="18"/>
        </w:rPr>
        <w:t xml:space="preserve"> </w:t>
      </w:r>
      <w:r w:rsidR="00D308A8" w:rsidRPr="00D308A8">
        <w:rPr>
          <w:sz w:val="18"/>
        </w:rPr>
        <w:t>Journal of Molecular Liquids 281:59-69.</w:t>
      </w:r>
    </w:p>
    <w:p w14:paraId="6711542D" w14:textId="77777777" w:rsidR="00D308A8" w:rsidRPr="00D308A8" w:rsidRDefault="00D308A8" w:rsidP="00E03069">
      <w:pPr>
        <w:pStyle w:val="Prrafodelista"/>
        <w:numPr>
          <w:ilvl w:val="0"/>
          <w:numId w:val="3"/>
        </w:numPr>
        <w:tabs>
          <w:tab w:val="left" w:pos="384"/>
        </w:tabs>
        <w:spacing w:before="0" w:line="240" w:lineRule="auto"/>
        <w:ind w:left="380" w:right="136"/>
        <w:rPr>
          <w:sz w:val="18"/>
        </w:rPr>
      </w:pPr>
      <w:r w:rsidRPr="00D308A8">
        <w:rPr>
          <w:sz w:val="18"/>
          <w:lang w:val="es-ES"/>
        </w:rPr>
        <w:t>B. Rodríguez, D. Ozturk, M.</w:t>
      </w:r>
      <w:r w:rsidR="00C42D1F">
        <w:rPr>
          <w:sz w:val="18"/>
          <w:lang w:val="es-ES"/>
        </w:rPr>
        <w:t xml:space="preserve"> Rosales, M. Flores, A. García*</w:t>
      </w:r>
      <w:r w:rsidRPr="00D308A8">
        <w:rPr>
          <w:sz w:val="18"/>
          <w:lang w:val="es-ES"/>
        </w:rPr>
        <w:t xml:space="preserve"> </w:t>
      </w:r>
      <w:r w:rsidR="00C42D1F" w:rsidRPr="00C42D1F">
        <w:rPr>
          <w:sz w:val="18"/>
          <w:lang w:val="es-ES"/>
        </w:rPr>
        <w:t xml:space="preserve">(2018). </w:t>
      </w:r>
      <w:r w:rsidRPr="00D308A8">
        <w:rPr>
          <w:sz w:val="18"/>
        </w:rPr>
        <w:t>In situ formation of Cu-(m-phenylendiamine) oligomer complex within thin film composite reverse osmosis membranes (TFC-RO) for antibiofouling properties. Journal</w:t>
      </w:r>
      <w:r>
        <w:rPr>
          <w:sz w:val="18"/>
        </w:rPr>
        <w:t xml:space="preserve"> of Materials Science. </w:t>
      </w:r>
      <w:r w:rsidRPr="00D308A8">
        <w:rPr>
          <w:sz w:val="18"/>
        </w:rPr>
        <w:t xml:space="preserve">https://doi.org/10.1007/s10853-018-2039-4. </w:t>
      </w:r>
    </w:p>
    <w:p w14:paraId="1ED7204F" w14:textId="77777777" w:rsidR="00C42D1F" w:rsidRDefault="00C42D1F" w:rsidP="00E03069">
      <w:pPr>
        <w:pStyle w:val="Prrafodelista"/>
        <w:numPr>
          <w:ilvl w:val="0"/>
          <w:numId w:val="3"/>
        </w:numPr>
        <w:tabs>
          <w:tab w:val="left" w:pos="384"/>
        </w:tabs>
        <w:spacing w:before="0" w:line="240" w:lineRule="auto"/>
        <w:ind w:left="380" w:right="136"/>
        <w:rPr>
          <w:sz w:val="18"/>
        </w:rPr>
      </w:pPr>
      <w:r w:rsidRPr="00BE109D">
        <w:rPr>
          <w:sz w:val="18"/>
          <w:lang w:val="es-CL"/>
        </w:rPr>
        <w:t xml:space="preserve">A. García*, B. Rodríguez, D. Ozturk, M. Rosales, D.I. Diaz, A. Mautner (2017). </w:t>
      </w:r>
      <w:r w:rsidR="00D308A8" w:rsidRPr="00C42D1F">
        <w:rPr>
          <w:sz w:val="18"/>
        </w:rPr>
        <w:t>Incorporation of CuO nanoparticles into thin film composite reverse osmosis membranes (TFC-RO) for antibiofouling properties. Polymer Bulletin. 7</w:t>
      </w:r>
      <w:r>
        <w:rPr>
          <w:sz w:val="18"/>
        </w:rPr>
        <w:t>5 (5): 2053-2069</w:t>
      </w:r>
      <w:r w:rsidR="00D308A8" w:rsidRPr="00C42D1F">
        <w:rPr>
          <w:sz w:val="18"/>
        </w:rPr>
        <w:t xml:space="preserve">. </w:t>
      </w:r>
    </w:p>
    <w:p w14:paraId="3DFF47FF" w14:textId="77777777" w:rsidR="00D308A8" w:rsidRPr="00C42D1F" w:rsidRDefault="00C42D1F" w:rsidP="00E03069">
      <w:pPr>
        <w:pStyle w:val="Prrafodelista"/>
        <w:numPr>
          <w:ilvl w:val="0"/>
          <w:numId w:val="3"/>
        </w:numPr>
        <w:tabs>
          <w:tab w:val="left" w:pos="384"/>
        </w:tabs>
        <w:spacing w:before="0" w:line="240" w:lineRule="auto"/>
        <w:ind w:left="380" w:right="136"/>
        <w:rPr>
          <w:sz w:val="18"/>
        </w:rPr>
      </w:pPr>
      <w:r w:rsidRPr="00C42D1F">
        <w:rPr>
          <w:sz w:val="18"/>
          <w:lang w:val="es-ES"/>
        </w:rPr>
        <w:t xml:space="preserve">A. García*, Y. Quintero, N. Vicencio, B. Rodríguez, D. Ozturk, E. Mosquera (2016). </w:t>
      </w:r>
      <w:r w:rsidR="00D308A8" w:rsidRPr="00C42D1F">
        <w:rPr>
          <w:sz w:val="18"/>
        </w:rPr>
        <w:t xml:space="preserve">Influence of TiO2 nanostructures on anti-adhesion and photoinduced bactericidal properties of thin film composite membranes.. </w:t>
      </w:r>
      <w:r>
        <w:rPr>
          <w:sz w:val="18"/>
        </w:rPr>
        <w:t xml:space="preserve">RSC Advances. 6: </w:t>
      </w:r>
      <w:r w:rsidR="00D308A8" w:rsidRPr="00C42D1F">
        <w:rPr>
          <w:sz w:val="18"/>
        </w:rPr>
        <w:t>82941.</w:t>
      </w:r>
    </w:p>
    <w:p w14:paraId="0579DE8D" w14:textId="77777777" w:rsidR="00D308A8" w:rsidRPr="00D308A8" w:rsidRDefault="00C42D1F" w:rsidP="00E03069">
      <w:pPr>
        <w:pStyle w:val="Prrafodelista"/>
        <w:numPr>
          <w:ilvl w:val="0"/>
          <w:numId w:val="3"/>
        </w:numPr>
        <w:tabs>
          <w:tab w:val="left" w:pos="384"/>
        </w:tabs>
        <w:spacing w:before="0" w:line="240" w:lineRule="auto"/>
        <w:ind w:left="380" w:right="136"/>
        <w:rPr>
          <w:sz w:val="18"/>
        </w:rPr>
      </w:pPr>
      <w:r w:rsidRPr="00BE109D">
        <w:rPr>
          <w:sz w:val="18"/>
          <w:lang w:val="es-CL"/>
        </w:rPr>
        <w:t xml:space="preserve">A. García*, B. Rodríguez, D. Ozturk, M. Rosales, C. Paredes, F. Cuadra, S. Montserrat (2016). </w:t>
      </w:r>
      <w:r w:rsidR="00D308A8" w:rsidRPr="00D308A8">
        <w:rPr>
          <w:sz w:val="18"/>
        </w:rPr>
        <w:t>Desalination performance of antibiofouling reverse osmosis membranes.</w:t>
      </w:r>
      <w:r>
        <w:rPr>
          <w:sz w:val="18"/>
        </w:rPr>
        <w:t xml:space="preserve"> </w:t>
      </w:r>
      <w:r w:rsidR="00D308A8" w:rsidRPr="00D308A8">
        <w:rPr>
          <w:sz w:val="18"/>
        </w:rPr>
        <w:t>Modern Environmental Science and Engin</w:t>
      </w:r>
      <w:r w:rsidR="00E03069">
        <w:rPr>
          <w:sz w:val="18"/>
        </w:rPr>
        <w:t>eering. 2 (7):</w:t>
      </w:r>
      <w:r w:rsidR="00D308A8" w:rsidRPr="00D308A8">
        <w:rPr>
          <w:sz w:val="18"/>
        </w:rPr>
        <w:t xml:space="preserve"> 481-489. </w:t>
      </w:r>
    </w:p>
    <w:p w14:paraId="2F5B83B1" w14:textId="77777777" w:rsidR="00AE3E37" w:rsidRPr="00E03069" w:rsidRDefault="00AE3E37" w:rsidP="00E03069">
      <w:pPr>
        <w:tabs>
          <w:tab w:val="left" w:pos="384"/>
        </w:tabs>
        <w:spacing w:before="103" w:line="216" w:lineRule="exact"/>
        <w:ind w:right="138"/>
        <w:rPr>
          <w:sz w:val="18"/>
        </w:rPr>
      </w:pPr>
    </w:p>
    <w:p w14:paraId="64D7E72E" w14:textId="77777777"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lastRenderedPageBreak/>
        <w:t xml:space="preserve">   </w:t>
      </w:r>
    </w:p>
    <w:p w14:paraId="49CCAD4C" w14:textId="77777777" w:rsidR="00AE3E37" w:rsidRDefault="00AE3E37">
      <w:pPr>
        <w:pStyle w:val="Textoindependiente"/>
        <w:rPr>
          <w:rFonts w:ascii="Calibri"/>
          <w:sz w:val="20"/>
        </w:rPr>
      </w:pPr>
    </w:p>
    <w:p w14:paraId="4C21116E" w14:textId="77777777" w:rsidR="00AE3E37" w:rsidRDefault="00292ED9">
      <w:pPr>
        <w:pStyle w:val="Textoindependiente"/>
        <w:spacing w:line="40" w:lineRule="exact"/>
        <w:ind w:left="2202"/>
        <w:rPr>
          <w:rFonts w:ascii="Calibri"/>
          <w:sz w:val="4"/>
        </w:rPr>
      </w:pPr>
      <w:r>
        <w:rPr>
          <w:rFonts w:ascii="Calibri"/>
          <w:noProof/>
          <w:sz w:val="4"/>
          <w:lang w:val="es-ES" w:eastAsia="es-ES"/>
        </w:rPr>
        <mc:AlternateContent>
          <mc:Choice Requires="wpg">
            <w:drawing>
              <wp:inline distT="0" distB="0" distL="0" distR="0" wp14:anchorId="5A408C0F" wp14:editId="794A049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0971C14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BA6741E" w14:textId="77777777" w:rsidR="00AE3E37" w:rsidRDefault="008756E6" w:rsidP="00404E5B">
      <w:pPr>
        <w:spacing w:before="92"/>
        <w:ind w:right="4234"/>
        <w:rPr>
          <w:rFonts w:ascii="Arial"/>
        </w:rPr>
      </w:pPr>
      <w:r>
        <w:rPr>
          <w:noProof/>
        </w:rPr>
        <w:t xml:space="preserve">              </w:t>
      </w:r>
      <w:r>
        <w:rPr>
          <w:noProof/>
          <w:lang w:val="es-ES" w:eastAsia="es-ES"/>
        </w:rPr>
        <w:drawing>
          <wp:inline distT="0" distB="0" distL="0" distR="0" wp14:anchorId="279E4F2D" wp14:editId="7F5027D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2BC15D7E" w14:textId="4339CB99" w:rsidR="00C41C95" w:rsidRPr="00C41C95" w:rsidRDefault="00C41C95" w:rsidP="00C41C95">
      <w:pPr>
        <w:pStyle w:val="Prrafodelista"/>
        <w:spacing w:before="41" w:line="154" w:lineRule="exact"/>
        <w:ind w:left="933" w:right="231" w:firstLine="0"/>
        <w:rPr>
          <w:rFonts w:ascii="Arial"/>
          <w:sz w:val="14"/>
          <w:lang w:val="en-GB"/>
        </w:rPr>
      </w:pPr>
      <w:r>
        <w:rPr>
          <w:rFonts w:ascii="Arial"/>
          <w:sz w:val="14"/>
        </w:rPr>
        <w:t>Andreina Garc</w:t>
      </w:r>
      <w:r>
        <w:rPr>
          <w:rFonts w:ascii="Arial"/>
          <w:sz w:val="14"/>
        </w:rPr>
        <w:t>í</w:t>
      </w:r>
      <w:r>
        <w:rPr>
          <w:rFonts w:ascii="Arial"/>
          <w:sz w:val="14"/>
        </w:rPr>
        <w:t>a</w:t>
      </w:r>
      <w:r w:rsidRPr="00C41C95">
        <w:rPr>
          <w:rFonts w:ascii="Arial"/>
          <w:sz w:val="14"/>
        </w:rPr>
        <w:t xml:space="preserve"> </w:t>
      </w:r>
      <w:r>
        <w:rPr>
          <w:rFonts w:ascii="Arial"/>
          <w:sz w:val="14"/>
        </w:rPr>
        <w:t xml:space="preserve">is </w:t>
      </w:r>
      <w:r w:rsidRPr="00C41C95">
        <w:rPr>
          <w:rFonts w:ascii="Arial"/>
          <w:sz w:val="14"/>
          <w:lang w:val="en-GB"/>
        </w:rPr>
        <w:t xml:space="preserve">Chemical Engineer, Specialist in Natural Resources and Doctor in </w:t>
      </w:r>
      <w:r>
        <w:rPr>
          <w:rFonts w:ascii="Arial"/>
          <w:sz w:val="14"/>
          <w:lang w:val="en-GB"/>
        </w:rPr>
        <w:t>Chemistry</w:t>
      </w:r>
      <w:r w:rsidRPr="00C41C95">
        <w:rPr>
          <w:rFonts w:ascii="Arial"/>
          <w:sz w:val="14"/>
          <w:lang w:val="en-GB"/>
        </w:rPr>
        <w:t xml:space="preserve">. Currently, she is </w:t>
      </w:r>
      <w:r w:rsidR="00441EA3">
        <w:rPr>
          <w:rFonts w:ascii="Arial"/>
          <w:sz w:val="14"/>
          <w:lang w:val="en-GB"/>
        </w:rPr>
        <w:t>associated r</w:t>
      </w:r>
      <w:r w:rsidRPr="00C41C95">
        <w:rPr>
          <w:rFonts w:ascii="Arial"/>
          <w:sz w:val="14"/>
          <w:lang w:val="en-GB"/>
        </w:rPr>
        <w:t xml:space="preserve">esearcher of the Advanced Mining Technology Center, AMTC, University of Chile. Her research area is focused on the development of nano-technology for the treatment of polluted water and </w:t>
      </w:r>
      <w:r w:rsidR="002927AC">
        <w:rPr>
          <w:rFonts w:ascii="Arial"/>
          <w:sz w:val="14"/>
          <w:lang w:val="en-GB"/>
        </w:rPr>
        <w:t>membranes for desalination process</w:t>
      </w:r>
      <w:r w:rsidRPr="00C41C95">
        <w:rPr>
          <w:rFonts w:ascii="Arial"/>
          <w:sz w:val="14"/>
          <w:lang w:val="en-GB"/>
        </w:rPr>
        <w:t xml:space="preserve">, in addition to the development of bio-technologies for the monitoring of heavy metals and water. Her experience is supported by international scientific publications, patents and in the management of projects of different kinds, from basic research, projects with the private sector, as well as R &amp; D.  </w:t>
      </w:r>
    </w:p>
    <w:p w14:paraId="342C8643" w14:textId="77777777" w:rsidR="00AE3E37" w:rsidRPr="00C41C95" w:rsidRDefault="00AE3E37">
      <w:pPr>
        <w:spacing w:before="41" w:line="154" w:lineRule="exact"/>
        <w:ind w:left="213" w:right="231"/>
        <w:jc w:val="both"/>
        <w:rPr>
          <w:rFonts w:ascii="Arial"/>
          <w:sz w:val="14"/>
          <w:lang w:val="en-GB"/>
        </w:rPr>
      </w:pPr>
      <w:bookmarkStart w:id="0" w:name="_GoBack"/>
      <w:bookmarkEnd w:id="0"/>
    </w:p>
    <w:p w14:paraId="2B2789DD" w14:textId="77777777" w:rsidR="00AE3E37" w:rsidRDefault="00A9710C">
      <w:pPr>
        <w:spacing w:before="62"/>
        <w:ind w:left="4217" w:right="4235"/>
        <w:jc w:val="center"/>
        <w:rPr>
          <w:rFonts w:ascii="Arial"/>
          <w:sz w:val="14"/>
        </w:rPr>
      </w:pPr>
      <w:r>
        <w:rPr>
          <w:rFonts w:ascii="Arial"/>
          <w:sz w:val="14"/>
        </w:rPr>
        <w:t xml:space="preserve">Email: </w:t>
      </w:r>
      <w:hyperlink r:id="rId12" w:history="1">
        <w:r w:rsidR="00FA08CB" w:rsidRPr="008917A2">
          <w:rPr>
            <w:rStyle w:val="Hipervnculo"/>
            <w:rFonts w:ascii="Arial"/>
            <w:sz w:val="14"/>
          </w:rPr>
          <w:t>andreina.garcia@amtc.cl</w:t>
        </w:r>
      </w:hyperlink>
      <w:r w:rsidR="00FA08CB">
        <w:rPr>
          <w:rFonts w:ascii="Arial"/>
          <w:sz w:val="14"/>
        </w:rPr>
        <w:t xml:space="preserve">. </w:t>
      </w:r>
    </w:p>
    <w:p w14:paraId="26E0AEBD" w14:textId="77777777" w:rsidR="00AE3E37" w:rsidRDefault="00292ED9">
      <w:pPr>
        <w:pStyle w:val="Textoindependiente"/>
        <w:spacing w:before="2"/>
        <w:rPr>
          <w:rFonts w:ascii="Arial"/>
          <w:sz w:val="19"/>
        </w:rPr>
      </w:pPr>
      <w:r>
        <w:rPr>
          <w:noProof/>
          <w:lang w:val="es-ES" w:eastAsia="es-ES"/>
        </w:rPr>
        <mc:AlternateContent>
          <mc:Choice Requires="wps">
            <w:drawing>
              <wp:anchor distT="0" distB="0" distL="0" distR="0" simplePos="0" relativeHeight="1072" behindDoc="0" locked="0" layoutInCell="1" allowOverlap="1" wp14:anchorId="41147F27" wp14:editId="4A5EC95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08F4302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49C5F21" w14:textId="77777777" w:rsidR="00AE3E37" w:rsidRDefault="00AE3E37">
      <w:pPr>
        <w:pStyle w:val="Textoindependiente"/>
        <w:rPr>
          <w:rFonts w:ascii="Arial"/>
          <w:sz w:val="20"/>
        </w:rPr>
      </w:pPr>
    </w:p>
    <w:p w14:paraId="4DFA3FFE" w14:textId="77777777" w:rsidR="00AE3E37" w:rsidRDefault="00AE3E37">
      <w:pPr>
        <w:pStyle w:val="Textoindependiente"/>
        <w:rPr>
          <w:rFonts w:ascii="Arial"/>
          <w:sz w:val="20"/>
        </w:rPr>
      </w:pPr>
    </w:p>
    <w:p w14:paraId="1475C64C" w14:textId="77777777" w:rsidR="00AE3E37" w:rsidRDefault="00AE3E37">
      <w:pPr>
        <w:pStyle w:val="Textoindependiente"/>
        <w:spacing w:before="7"/>
        <w:rPr>
          <w:rFonts w:ascii="Arial"/>
          <w:sz w:val="29"/>
        </w:rPr>
      </w:pPr>
    </w:p>
    <w:p w14:paraId="05450EFB" w14:textId="77777777" w:rsidR="00AE3E37" w:rsidRPr="00B21A57" w:rsidRDefault="00A9710C">
      <w:pPr>
        <w:spacing w:before="39"/>
        <w:ind w:left="100"/>
        <w:rPr>
          <w:rFonts w:ascii="Minion Pro"/>
          <w:b/>
          <w:sz w:val="20"/>
        </w:rPr>
      </w:pPr>
      <w:r w:rsidRPr="00B21A57">
        <w:rPr>
          <w:rFonts w:ascii="Minion Pro"/>
          <w:b/>
          <w:sz w:val="20"/>
        </w:rPr>
        <w:t>Notes/Comments:</w:t>
      </w:r>
    </w:p>
    <w:p w14:paraId="455C5D98" w14:textId="77777777"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14:paraId="037F62B8" w14:textId="77777777" w:rsidR="00AE3E37" w:rsidRDefault="00AE3E37">
      <w:pPr>
        <w:pStyle w:val="Textoindependiente"/>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6AAECE8" w16cid:durableId="203E26F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AF755B" w14:textId="77777777" w:rsidR="0079664C" w:rsidRDefault="0079664C">
      <w:r>
        <w:separator/>
      </w:r>
    </w:p>
  </w:endnote>
  <w:endnote w:type="continuationSeparator" w:id="0">
    <w:p w14:paraId="4CED22A7" w14:textId="77777777" w:rsidR="0079664C" w:rsidRDefault="00796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EDF5C0" w14:textId="77777777"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503311928" behindDoc="1" locked="0" layoutInCell="1" allowOverlap="1" wp14:anchorId="3D10CB68" wp14:editId="485830F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2C1B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8E21F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3D10CB68"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1DC2C1B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8E21F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52" behindDoc="1" locked="0" layoutInCell="1" allowOverlap="1" wp14:anchorId="7A5A776C" wp14:editId="7BA45D5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49619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E320B6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7A5A776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2449619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E320B6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76" behindDoc="1" locked="0" layoutInCell="1" allowOverlap="1" wp14:anchorId="6B9D12FD" wp14:editId="03EE6C0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86398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858D49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6B9D12FD"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0086398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858D49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C2EE5B" w14:textId="77777777" w:rsidR="0079664C" w:rsidRDefault="0079664C">
      <w:r>
        <w:separator/>
      </w:r>
    </w:p>
  </w:footnote>
  <w:footnote w:type="continuationSeparator" w:id="0">
    <w:p w14:paraId="222ABF12" w14:textId="77777777" w:rsidR="0079664C" w:rsidRDefault="007966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99DB3C" w14:textId="77777777"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503311880" behindDoc="1" locked="0" layoutInCell="1" allowOverlap="1" wp14:anchorId="5B1589E5" wp14:editId="645801A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B2DC3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5B1589E5"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6CB2DC3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04" behindDoc="1" locked="0" layoutInCell="1" allowOverlap="1" wp14:anchorId="1F43B630" wp14:editId="03B11F7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87BC4F"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84FF97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1F43B63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4E87BC4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84FF97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D204669"/>
    <w:multiLevelType w:val="hybridMultilevel"/>
    <w:tmpl w:val="FA0A0978"/>
    <w:lvl w:ilvl="0" w:tplc="54665406">
      <w:start w:val="1"/>
      <w:numFmt w:val="upperLetter"/>
      <w:lvlText w:val="%1."/>
      <w:lvlJc w:val="left"/>
      <w:pPr>
        <w:ind w:left="933" w:hanging="360"/>
      </w:pPr>
      <w:rPr>
        <w:rFonts w:hint="default"/>
      </w:rPr>
    </w:lvl>
    <w:lvl w:ilvl="1" w:tplc="0C0A0019" w:tentative="1">
      <w:start w:val="1"/>
      <w:numFmt w:val="lowerLetter"/>
      <w:lvlText w:val="%2."/>
      <w:lvlJc w:val="left"/>
      <w:pPr>
        <w:ind w:left="1653" w:hanging="360"/>
      </w:pPr>
    </w:lvl>
    <w:lvl w:ilvl="2" w:tplc="0C0A001B" w:tentative="1">
      <w:start w:val="1"/>
      <w:numFmt w:val="lowerRoman"/>
      <w:lvlText w:val="%3."/>
      <w:lvlJc w:val="right"/>
      <w:pPr>
        <w:ind w:left="2373" w:hanging="180"/>
      </w:pPr>
    </w:lvl>
    <w:lvl w:ilvl="3" w:tplc="0C0A000F" w:tentative="1">
      <w:start w:val="1"/>
      <w:numFmt w:val="decimal"/>
      <w:lvlText w:val="%4."/>
      <w:lvlJc w:val="left"/>
      <w:pPr>
        <w:ind w:left="3093" w:hanging="360"/>
      </w:pPr>
    </w:lvl>
    <w:lvl w:ilvl="4" w:tplc="0C0A0019" w:tentative="1">
      <w:start w:val="1"/>
      <w:numFmt w:val="lowerLetter"/>
      <w:lvlText w:val="%5."/>
      <w:lvlJc w:val="left"/>
      <w:pPr>
        <w:ind w:left="3813" w:hanging="360"/>
      </w:pPr>
    </w:lvl>
    <w:lvl w:ilvl="5" w:tplc="0C0A001B" w:tentative="1">
      <w:start w:val="1"/>
      <w:numFmt w:val="lowerRoman"/>
      <w:lvlText w:val="%6."/>
      <w:lvlJc w:val="right"/>
      <w:pPr>
        <w:ind w:left="4533" w:hanging="180"/>
      </w:pPr>
    </w:lvl>
    <w:lvl w:ilvl="6" w:tplc="0C0A000F" w:tentative="1">
      <w:start w:val="1"/>
      <w:numFmt w:val="decimal"/>
      <w:lvlText w:val="%7."/>
      <w:lvlJc w:val="left"/>
      <w:pPr>
        <w:ind w:left="5253" w:hanging="360"/>
      </w:pPr>
    </w:lvl>
    <w:lvl w:ilvl="7" w:tplc="0C0A0019" w:tentative="1">
      <w:start w:val="1"/>
      <w:numFmt w:val="lowerLetter"/>
      <w:lvlText w:val="%8."/>
      <w:lvlJc w:val="left"/>
      <w:pPr>
        <w:ind w:left="5973" w:hanging="360"/>
      </w:pPr>
    </w:lvl>
    <w:lvl w:ilvl="8" w:tplc="0C0A001B" w:tentative="1">
      <w:start w:val="1"/>
      <w:numFmt w:val="lowerRoman"/>
      <w:lvlText w:val="%9."/>
      <w:lvlJc w:val="right"/>
      <w:pPr>
        <w:ind w:left="6693"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74FC4BA3"/>
    <w:multiLevelType w:val="hybridMultilevel"/>
    <w:tmpl w:val="A0903732"/>
    <w:lvl w:ilvl="0" w:tplc="72CA15FA">
      <w:start w:val="1"/>
      <w:numFmt w:val="upperLetter"/>
      <w:lvlText w:val="%1."/>
      <w:lvlJc w:val="left"/>
      <w:pPr>
        <w:ind w:left="573" w:hanging="360"/>
      </w:pPr>
      <w:rPr>
        <w:rFonts w:hint="default"/>
      </w:rPr>
    </w:lvl>
    <w:lvl w:ilvl="1" w:tplc="0C0A0019" w:tentative="1">
      <w:start w:val="1"/>
      <w:numFmt w:val="lowerLetter"/>
      <w:lvlText w:val="%2."/>
      <w:lvlJc w:val="left"/>
      <w:pPr>
        <w:ind w:left="1293" w:hanging="360"/>
      </w:pPr>
    </w:lvl>
    <w:lvl w:ilvl="2" w:tplc="0C0A001B" w:tentative="1">
      <w:start w:val="1"/>
      <w:numFmt w:val="lowerRoman"/>
      <w:lvlText w:val="%3."/>
      <w:lvlJc w:val="right"/>
      <w:pPr>
        <w:ind w:left="2013" w:hanging="180"/>
      </w:pPr>
    </w:lvl>
    <w:lvl w:ilvl="3" w:tplc="0C0A000F" w:tentative="1">
      <w:start w:val="1"/>
      <w:numFmt w:val="decimal"/>
      <w:lvlText w:val="%4."/>
      <w:lvlJc w:val="left"/>
      <w:pPr>
        <w:ind w:left="2733" w:hanging="360"/>
      </w:pPr>
    </w:lvl>
    <w:lvl w:ilvl="4" w:tplc="0C0A0019" w:tentative="1">
      <w:start w:val="1"/>
      <w:numFmt w:val="lowerLetter"/>
      <w:lvlText w:val="%5."/>
      <w:lvlJc w:val="left"/>
      <w:pPr>
        <w:ind w:left="3453" w:hanging="360"/>
      </w:pPr>
    </w:lvl>
    <w:lvl w:ilvl="5" w:tplc="0C0A001B" w:tentative="1">
      <w:start w:val="1"/>
      <w:numFmt w:val="lowerRoman"/>
      <w:lvlText w:val="%6."/>
      <w:lvlJc w:val="right"/>
      <w:pPr>
        <w:ind w:left="4173" w:hanging="180"/>
      </w:pPr>
    </w:lvl>
    <w:lvl w:ilvl="6" w:tplc="0C0A000F" w:tentative="1">
      <w:start w:val="1"/>
      <w:numFmt w:val="decimal"/>
      <w:lvlText w:val="%7."/>
      <w:lvlJc w:val="left"/>
      <w:pPr>
        <w:ind w:left="4893" w:hanging="360"/>
      </w:pPr>
    </w:lvl>
    <w:lvl w:ilvl="7" w:tplc="0C0A0019" w:tentative="1">
      <w:start w:val="1"/>
      <w:numFmt w:val="lowerLetter"/>
      <w:lvlText w:val="%8."/>
      <w:lvlJc w:val="left"/>
      <w:pPr>
        <w:ind w:left="5613" w:hanging="360"/>
      </w:pPr>
    </w:lvl>
    <w:lvl w:ilvl="8" w:tplc="0C0A001B" w:tentative="1">
      <w:start w:val="1"/>
      <w:numFmt w:val="lowerRoman"/>
      <w:lvlText w:val="%9."/>
      <w:lvlJc w:val="right"/>
      <w:pPr>
        <w:ind w:left="6333"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05472"/>
    <w:rsid w:val="0001764E"/>
    <w:rsid w:val="000E2911"/>
    <w:rsid w:val="001263DF"/>
    <w:rsid w:val="00182098"/>
    <w:rsid w:val="001E752F"/>
    <w:rsid w:val="0023086C"/>
    <w:rsid w:val="00263FB0"/>
    <w:rsid w:val="002927AC"/>
    <w:rsid w:val="00292ED9"/>
    <w:rsid w:val="002A557A"/>
    <w:rsid w:val="00374891"/>
    <w:rsid w:val="00390EE2"/>
    <w:rsid w:val="003B77EC"/>
    <w:rsid w:val="00404E5B"/>
    <w:rsid w:val="00414F7B"/>
    <w:rsid w:val="004355DC"/>
    <w:rsid w:val="00441936"/>
    <w:rsid w:val="00441EA3"/>
    <w:rsid w:val="004749B4"/>
    <w:rsid w:val="00483211"/>
    <w:rsid w:val="00494130"/>
    <w:rsid w:val="00494783"/>
    <w:rsid w:val="004E5DB5"/>
    <w:rsid w:val="004F3523"/>
    <w:rsid w:val="005973B9"/>
    <w:rsid w:val="005B3A56"/>
    <w:rsid w:val="005C3F8B"/>
    <w:rsid w:val="00605238"/>
    <w:rsid w:val="006060CE"/>
    <w:rsid w:val="0063497F"/>
    <w:rsid w:val="006D2C10"/>
    <w:rsid w:val="006D7EE9"/>
    <w:rsid w:val="0075433F"/>
    <w:rsid w:val="007709ED"/>
    <w:rsid w:val="00770E30"/>
    <w:rsid w:val="0079664C"/>
    <w:rsid w:val="007D2641"/>
    <w:rsid w:val="007D3A55"/>
    <w:rsid w:val="00855259"/>
    <w:rsid w:val="00873DF0"/>
    <w:rsid w:val="008756E6"/>
    <w:rsid w:val="008918B3"/>
    <w:rsid w:val="008F3134"/>
    <w:rsid w:val="00956460"/>
    <w:rsid w:val="00983618"/>
    <w:rsid w:val="009B2D44"/>
    <w:rsid w:val="00A07E82"/>
    <w:rsid w:val="00A527E3"/>
    <w:rsid w:val="00A83CC3"/>
    <w:rsid w:val="00A9710C"/>
    <w:rsid w:val="00AC2944"/>
    <w:rsid w:val="00AE3E37"/>
    <w:rsid w:val="00B21A57"/>
    <w:rsid w:val="00BE109D"/>
    <w:rsid w:val="00C33602"/>
    <w:rsid w:val="00C41C95"/>
    <w:rsid w:val="00C42D1F"/>
    <w:rsid w:val="00CC003F"/>
    <w:rsid w:val="00CD6F55"/>
    <w:rsid w:val="00D308A8"/>
    <w:rsid w:val="00D64F10"/>
    <w:rsid w:val="00DB6D20"/>
    <w:rsid w:val="00DD7B3B"/>
    <w:rsid w:val="00DE3104"/>
    <w:rsid w:val="00E00D54"/>
    <w:rsid w:val="00E03069"/>
    <w:rsid w:val="00E050DC"/>
    <w:rsid w:val="00E46562"/>
    <w:rsid w:val="00E855D0"/>
    <w:rsid w:val="00E92544"/>
    <w:rsid w:val="00EB0D7B"/>
    <w:rsid w:val="00EB7AED"/>
    <w:rsid w:val="00F07D91"/>
    <w:rsid w:val="00F2380B"/>
    <w:rsid w:val="00F72EEA"/>
    <w:rsid w:val="00F7601F"/>
    <w:rsid w:val="00F84CAE"/>
    <w:rsid w:val="00FA08CB"/>
    <w:rsid w:val="00FA6E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2EF963"/>
  <w15:docId w15:val="{40333773-5286-44BC-BFF5-CE71B0CB3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Refdecomentario">
    <w:name w:val="annotation reference"/>
    <w:basedOn w:val="Fuentedeprrafopredeter"/>
    <w:uiPriority w:val="99"/>
    <w:semiHidden/>
    <w:unhideWhenUsed/>
    <w:rsid w:val="008918B3"/>
    <w:rPr>
      <w:sz w:val="16"/>
      <w:szCs w:val="16"/>
    </w:rPr>
  </w:style>
  <w:style w:type="paragraph" w:styleId="Textocomentario">
    <w:name w:val="annotation text"/>
    <w:basedOn w:val="Normal"/>
    <w:link w:val="TextocomentarioCar"/>
    <w:uiPriority w:val="99"/>
    <w:semiHidden/>
    <w:unhideWhenUsed/>
    <w:rsid w:val="008918B3"/>
    <w:rPr>
      <w:sz w:val="20"/>
      <w:szCs w:val="20"/>
    </w:rPr>
  </w:style>
  <w:style w:type="character" w:customStyle="1" w:styleId="TextocomentarioCar">
    <w:name w:val="Texto comentario Car"/>
    <w:basedOn w:val="Fuentedeprrafopredeter"/>
    <w:link w:val="Textocomentario"/>
    <w:uiPriority w:val="99"/>
    <w:semiHidden/>
    <w:rsid w:val="008918B3"/>
    <w:rPr>
      <w:rFonts w:ascii="Tw Cen MT" w:eastAsia="Tw Cen MT" w:hAnsi="Tw Cen MT" w:cs="Tw Cen MT"/>
      <w:sz w:val="20"/>
      <w:szCs w:val="20"/>
    </w:rPr>
  </w:style>
  <w:style w:type="paragraph" w:styleId="Asuntodelcomentario">
    <w:name w:val="annotation subject"/>
    <w:basedOn w:val="Textocomentario"/>
    <w:next w:val="Textocomentario"/>
    <w:link w:val="AsuntodelcomentarioCar"/>
    <w:uiPriority w:val="99"/>
    <w:semiHidden/>
    <w:unhideWhenUsed/>
    <w:rsid w:val="008918B3"/>
    <w:rPr>
      <w:b/>
      <w:bCs/>
    </w:rPr>
  </w:style>
  <w:style w:type="character" w:customStyle="1" w:styleId="AsuntodelcomentarioCar">
    <w:name w:val="Asunto del comentario Car"/>
    <w:basedOn w:val="TextocomentarioCar"/>
    <w:link w:val="Asuntodelcomentario"/>
    <w:uiPriority w:val="99"/>
    <w:semiHidden/>
    <w:rsid w:val="008918B3"/>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andreina.garcia@amtc.c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tiff"/><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747</Words>
  <Characters>4109</Characters>
  <Application>Microsoft Office Word</Application>
  <DocSecurity>0</DocSecurity>
  <Lines>34</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agarcia</cp:lastModifiedBy>
  <cp:revision>8</cp:revision>
  <dcterms:created xsi:type="dcterms:W3CDTF">2019-03-21T20:23:00Z</dcterms:created>
  <dcterms:modified xsi:type="dcterms:W3CDTF">2019-03-21T20:39:00Z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