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3DB" w:rsidRPr="00722D77" w:rsidRDefault="009966CE" w:rsidP="001A33DB">
      <w:pPr>
        <w:pStyle w:val="Default"/>
        <w:rPr>
          <w:rFonts w:ascii="Times New Roman" w:hAnsi="Times New Roman" w:cs="Times New Roman"/>
          <w:b/>
          <w:sz w:val="22"/>
          <w:szCs w:val="22"/>
        </w:rPr>
      </w:pPr>
      <w:r w:rsidRPr="00722D77">
        <w:rPr>
          <w:rFonts w:ascii="Times New Roman" w:hAnsi="Times New Roman" w:cs="Times New Roman"/>
          <w:b/>
          <w:sz w:val="22"/>
          <w:szCs w:val="22"/>
        </w:rPr>
        <w:t>Advances in 3D Printing in Biomaterials for Orthopaedic Applications</w:t>
      </w:r>
    </w:p>
    <w:p w:rsidR="00966186" w:rsidRPr="009966CE" w:rsidRDefault="00966186" w:rsidP="001A33DB">
      <w:pPr>
        <w:rPr>
          <w:sz w:val="22"/>
          <w:szCs w:val="22"/>
        </w:rPr>
      </w:pPr>
    </w:p>
    <w:p w:rsidR="001A33DB" w:rsidRPr="009966CE" w:rsidRDefault="00966186" w:rsidP="001A33DB">
      <w:pPr>
        <w:rPr>
          <w:rFonts w:eastAsiaTheme="minorHAnsi"/>
          <w:sz w:val="22"/>
          <w:szCs w:val="22"/>
        </w:rPr>
      </w:pPr>
      <w:r w:rsidRPr="009966CE">
        <w:rPr>
          <w:sz w:val="22"/>
          <w:szCs w:val="22"/>
        </w:rPr>
        <w:t>Dan Li</w:t>
      </w:r>
      <w:r w:rsidRPr="009966CE">
        <w:rPr>
          <w:sz w:val="22"/>
          <w:szCs w:val="22"/>
          <w:vertAlign w:val="superscript"/>
        </w:rPr>
        <w:t>1, 2</w:t>
      </w:r>
      <w:r w:rsidRPr="009966CE">
        <w:rPr>
          <w:sz w:val="22"/>
          <w:szCs w:val="22"/>
        </w:rPr>
        <w:t>,</w:t>
      </w:r>
      <w:r w:rsidR="00141A8D" w:rsidRPr="009966CE">
        <w:rPr>
          <w:sz w:val="22"/>
          <w:szCs w:val="22"/>
        </w:rPr>
        <w:t xml:space="preserve"> Pravin Vence</w:t>
      </w:r>
      <w:r w:rsidR="00141A8D" w:rsidRPr="009966CE">
        <w:rPr>
          <w:sz w:val="22"/>
          <w:szCs w:val="22"/>
          <w:vertAlign w:val="superscript"/>
        </w:rPr>
        <w:t>1</w:t>
      </w:r>
      <w:r w:rsidR="00141A8D" w:rsidRPr="009966CE">
        <w:rPr>
          <w:sz w:val="22"/>
          <w:szCs w:val="22"/>
        </w:rPr>
        <w:t>,</w:t>
      </w:r>
      <w:r w:rsidRPr="009966CE">
        <w:rPr>
          <w:sz w:val="22"/>
          <w:szCs w:val="22"/>
        </w:rPr>
        <w:t xml:space="preserve"> </w:t>
      </w:r>
      <w:proofErr w:type="spellStart"/>
      <w:r w:rsidRPr="009966CE">
        <w:rPr>
          <w:sz w:val="22"/>
          <w:szCs w:val="22"/>
        </w:rPr>
        <w:t>Yaoyi</w:t>
      </w:r>
      <w:proofErr w:type="spellEnd"/>
      <w:r w:rsidRPr="009966CE">
        <w:rPr>
          <w:sz w:val="22"/>
          <w:szCs w:val="22"/>
        </w:rPr>
        <w:t xml:space="preserve"> Huang</w:t>
      </w:r>
      <w:r w:rsidRPr="009966CE">
        <w:rPr>
          <w:sz w:val="22"/>
          <w:szCs w:val="22"/>
          <w:vertAlign w:val="superscript"/>
        </w:rPr>
        <w:t>2</w:t>
      </w:r>
      <w:r w:rsidRPr="009966CE">
        <w:rPr>
          <w:sz w:val="22"/>
          <w:szCs w:val="22"/>
        </w:rPr>
        <w:t>, Hong Shen</w:t>
      </w:r>
      <w:r w:rsidRPr="009966CE">
        <w:rPr>
          <w:sz w:val="22"/>
          <w:szCs w:val="22"/>
          <w:vertAlign w:val="superscript"/>
        </w:rPr>
        <w:t>2</w:t>
      </w:r>
      <w:r w:rsidRPr="009966CE">
        <w:rPr>
          <w:sz w:val="22"/>
          <w:szCs w:val="22"/>
        </w:rPr>
        <w:t xml:space="preserve">, </w:t>
      </w:r>
      <w:proofErr w:type="spellStart"/>
      <w:r w:rsidRPr="009966CE">
        <w:rPr>
          <w:sz w:val="22"/>
          <w:szCs w:val="22"/>
        </w:rPr>
        <w:t>Yunlong</w:t>
      </w:r>
      <w:proofErr w:type="spellEnd"/>
      <w:r w:rsidRPr="009966CE">
        <w:rPr>
          <w:sz w:val="22"/>
          <w:szCs w:val="22"/>
        </w:rPr>
        <w:t xml:space="preserve"> Ma</w:t>
      </w:r>
      <w:r w:rsidRPr="009966CE">
        <w:rPr>
          <w:sz w:val="22"/>
          <w:szCs w:val="22"/>
          <w:vertAlign w:val="superscript"/>
        </w:rPr>
        <w:t>2</w:t>
      </w:r>
      <w:r w:rsidRPr="009966CE">
        <w:rPr>
          <w:sz w:val="22"/>
          <w:szCs w:val="22"/>
        </w:rPr>
        <w:t xml:space="preserve">, </w:t>
      </w:r>
      <w:proofErr w:type="spellStart"/>
      <w:r w:rsidRPr="009966CE">
        <w:rPr>
          <w:sz w:val="22"/>
          <w:szCs w:val="22"/>
        </w:rPr>
        <w:t>Yuanzheng</w:t>
      </w:r>
      <w:proofErr w:type="spellEnd"/>
      <w:r w:rsidRPr="009966CE">
        <w:rPr>
          <w:sz w:val="22"/>
          <w:szCs w:val="22"/>
        </w:rPr>
        <w:t xml:space="preserve"> Ma</w:t>
      </w:r>
      <w:r w:rsidRPr="009966CE">
        <w:rPr>
          <w:sz w:val="22"/>
          <w:szCs w:val="22"/>
          <w:vertAlign w:val="superscript"/>
        </w:rPr>
        <w:t>2</w:t>
      </w:r>
      <w:r w:rsidRPr="009966CE">
        <w:rPr>
          <w:sz w:val="22"/>
          <w:szCs w:val="22"/>
        </w:rPr>
        <w:br/>
      </w:r>
      <w:r w:rsidRPr="009966CE">
        <w:rPr>
          <w:sz w:val="22"/>
          <w:szCs w:val="22"/>
        </w:rPr>
        <w:br/>
      </w:r>
      <w:r w:rsidRPr="009966CE">
        <w:rPr>
          <w:sz w:val="22"/>
          <w:szCs w:val="22"/>
          <w:vertAlign w:val="superscript"/>
        </w:rPr>
        <w:t xml:space="preserve">1 </w:t>
      </w:r>
      <w:r w:rsidRPr="009966CE">
        <w:rPr>
          <w:sz w:val="22"/>
          <w:szCs w:val="22"/>
        </w:rPr>
        <w:t>Northwestern University, Chicago, Illinois</w:t>
      </w:r>
      <w:r w:rsidRPr="009966CE">
        <w:rPr>
          <w:sz w:val="22"/>
          <w:szCs w:val="22"/>
        </w:rPr>
        <w:br/>
      </w:r>
      <w:r w:rsidRPr="009966CE">
        <w:rPr>
          <w:sz w:val="22"/>
          <w:szCs w:val="22"/>
          <w:vertAlign w:val="superscript"/>
        </w:rPr>
        <w:t>2</w:t>
      </w:r>
      <w:r w:rsidRPr="009966CE">
        <w:rPr>
          <w:sz w:val="22"/>
          <w:szCs w:val="22"/>
        </w:rPr>
        <w:t xml:space="preserve"> 309</w:t>
      </w:r>
      <w:r w:rsidRPr="009966CE">
        <w:rPr>
          <w:sz w:val="22"/>
          <w:szCs w:val="22"/>
          <w:vertAlign w:val="superscript"/>
        </w:rPr>
        <w:t>th</w:t>
      </w:r>
      <w:r w:rsidRPr="009966CE">
        <w:rPr>
          <w:sz w:val="22"/>
          <w:szCs w:val="22"/>
        </w:rPr>
        <w:t xml:space="preserve"> Hospital of the PLA, Beijing, China</w:t>
      </w:r>
      <w:r w:rsidR="001A33DB" w:rsidRPr="009966CE">
        <w:rPr>
          <w:sz w:val="22"/>
          <w:szCs w:val="22"/>
        </w:rPr>
        <w:br/>
      </w:r>
    </w:p>
    <w:p w:rsidR="001A33DB" w:rsidRPr="009966CE" w:rsidRDefault="001A33DB" w:rsidP="001A33DB">
      <w:pPr>
        <w:rPr>
          <w:rFonts w:eastAsiaTheme="minorHAnsi"/>
          <w:sz w:val="22"/>
          <w:szCs w:val="22"/>
        </w:rPr>
      </w:pPr>
      <w:r w:rsidRPr="009966CE">
        <w:rPr>
          <w:rFonts w:eastAsiaTheme="minorHAnsi"/>
          <w:sz w:val="22"/>
          <w:szCs w:val="22"/>
        </w:rPr>
        <w:t xml:space="preserve">3D Printing aims to deliver intricate biomedical devices based upon advanced diagnostic imaging. With the current upsurge in public interest and increasing access to low-cost printers, efforts are underway to produce patient-specific anatomical models, customized implants, and individualized instrumentation. Examples include the development of disposable surgical saw guides and cutting blocks in total knee arthroplasty. </w:t>
      </w:r>
      <w:r w:rsidR="0027139D" w:rsidRPr="009966CE">
        <w:rPr>
          <w:rFonts w:eastAsiaTheme="minorHAnsi"/>
          <w:sz w:val="22"/>
          <w:szCs w:val="22"/>
        </w:rPr>
        <w:t xml:space="preserve">These devices </w:t>
      </w:r>
      <w:r w:rsidRPr="009966CE">
        <w:rPr>
          <w:rFonts w:eastAsiaTheme="minorHAnsi"/>
          <w:sz w:val="22"/>
          <w:szCs w:val="22"/>
        </w:rPr>
        <w:t xml:space="preserve">help minimize tissue loss and optimize the native biomechanics of the patient. This review explores the evolution of 3D Printing technology in the context of biomaterials. It also aims to critiques the major challenges ahead in optimizing </w:t>
      </w:r>
      <w:proofErr w:type="spellStart"/>
      <w:r w:rsidRPr="009966CE">
        <w:rPr>
          <w:rFonts w:eastAsiaTheme="minorHAnsi"/>
          <w:sz w:val="22"/>
          <w:szCs w:val="22"/>
        </w:rPr>
        <w:t>bioinks</w:t>
      </w:r>
      <w:proofErr w:type="spellEnd"/>
      <w:r w:rsidRPr="009966CE">
        <w:rPr>
          <w:rFonts w:eastAsiaTheme="minorHAnsi"/>
          <w:sz w:val="22"/>
          <w:szCs w:val="22"/>
        </w:rPr>
        <w:t xml:space="preserve"> and biologic performance in bringing 3D </w:t>
      </w:r>
      <w:proofErr w:type="spellStart"/>
      <w:r w:rsidRPr="009966CE">
        <w:rPr>
          <w:rFonts w:eastAsiaTheme="minorHAnsi"/>
          <w:sz w:val="22"/>
          <w:szCs w:val="22"/>
        </w:rPr>
        <w:t>bioprinting</w:t>
      </w:r>
      <w:proofErr w:type="spellEnd"/>
      <w:r w:rsidRPr="009966CE">
        <w:rPr>
          <w:rFonts w:eastAsiaTheme="minorHAnsi"/>
          <w:sz w:val="22"/>
          <w:szCs w:val="22"/>
        </w:rPr>
        <w:t xml:space="preserve"> to clinical practice. </w:t>
      </w:r>
    </w:p>
    <w:p w:rsidR="001A33DB" w:rsidRPr="009966CE" w:rsidRDefault="001A33DB" w:rsidP="001A33DB">
      <w:pPr>
        <w:rPr>
          <w:rFonts w:eastAsiaTheme="minorHAnsi"/>
          <w:sz w:val="22"/>
          <w:szCs w:val="22"/>
        </w:rPr>
      </w:pPr>
      <w:r w:rsidRPr="009966CE">
        <w:rPr>
          <w:rFonts w:eastAsiaTheme="minorHAnsi"/>
          <w:sz w:val="22"/>
          <w:szCs w:val="22"/>
        </w:rPr>
        <w:br/>
        <w:t xml:space="preserve">Common materials include metals, </w:t>
      </w:r>
      <w:proofErr w:type="spellStart"/>
      <w:r w:rsidRPr="009966CE">
        <w:rPr>
          <w:rFonts w:eastAsiaTheme="minorHAnsi"/>
          <w:sz w:val="22"/>
          <w:szCs w:val="22"/>
        </w:rPr>
        <w:t>bioceramics</w:t>
      </w:r>
      <w:proofErr w:type="spellEnd"/>
      <w:r w:rsidRPr="009966CE">
        <w:rPr>
          <w:rFonts w:eastAsiaTheme="minorHAnsi"/>
          <w:sz w:val="22"/>
          <w:szCs w:val="22"/>
        </w:rPr>
        <w:t xml:space="preserve">, synthetics, and natural polymers; each have specific mechanical properties, processing methodology, and cell-material interaction. </w:t>
      </w:r>
      <w:proofErr w:type="spellStart"/>
      <w:r w:rsidRPr="009966CE">
        <w:rPr>
          <w:rFonts w:eastAsiaTheme="minorHAnsi"/>
          <w:sz w:val="22"/>
          <w:szCs w:val="22"/>
        </w:rPr>
        <w:t>Biofunctional</w:t>
      </w:r>
      <w:proofErr w:type="spellEnd"/>
      <w:r w:rsidRPr="009966CE">
        <w:rPr>
          <w:rFonts w:eastAsiaTheme="minorHAnsi"/>
          <w:sz w:val="22"/>
          <w:szCs w:val="22"/>
        </w:rPr>
        <w:t xml:space="preserve"> biomaterials are an emerging class of materials that display adaptability and activity at every phase of bone growth. These biomaterials have been shown to promote osteogenic differentiation, improve calcium phosphate (</w:t>
      </w:r>
      <w:proofErr w:type="spellStart"/>
      <w:r w:rsidRPr="009966CE">
        <w:rPr>
          <w:rFonts w:eastAsiaTheme="minorHAnsi"/>
          <w:sz w:val="22"/>
          <w:szCs w:val="22"/>
        </w:rPr>
        <w:t>CaP</w:t>
      </w:r>
      <w:proofErr w:type="spellEnd"/>
      <w:r w:rsidRPr="009966CE">
        <w:rPr>
          <w:rFonts w:eastAsiaTheme="minorHAnsi"/>
          <w:sz w:val="22"/>
          <w:szCs w:val="22"/>
        </w:rPr>
        <w:t xml:space="preserve">) precipitation, and regulate osteoblast gene expression. When crafted to emulate the specific micro-environment of bone, polymer-surface modifications accelerate bony ingrowth. </w:t>
      </w:r>
    </w:p>
    <w:p w:rsidR="001A33DB" w:rsidRPr="009966CE" w:rsidRDefault="001A33DB" w:rsidP="001A33DB">
      <w:pPr>
        <w:rPr>
          <w:rFonts w:eastAsiaTheme="minorHAnsi"/>
          <w:sz w:val="22"/>
          <w:szCs w:val="22"/>
        </w:rPr>
      </w:pPr>
    </w:p>
    <w:p w:rsidR="001A33DB" w:rsidRPr="009966CE" w:rsidRDefault="001A33DB" w:rsidP="001A33DB">
      <w:pPr>
        <w:rPr>
          <w:sz w:val="22"/>
          <w:szCs w:val="22"/>
        </w:rPr>
      </w:pPr>
      <w:r w:rsidRPr="009966CE">
        <w:rPr>
          <w:sz w:val="22"/>
          <w:szCs w:val="22"/>
        </w:rPr>
        <w:t>3D printing holds promise as a scaffold for bone regeneration as precise control of the overall geometry and internal porous structure. The accompanying biomaterials may be successfully embedded within multi-cellular co-cultures and specific growth factors modulated to optimize growth and fixation</w:t>
      </w:r>
      <w:r w:rsidR="0027139D" w:rsidRPr="009966CE">
        <w:rPr>
          <w:sz w:val="22"/>
          <w:szCs w:val="22"/>
        </w:rPr>
        <w:t xml:space="preserve"> [2, 6]</w:t>
      </w:r>
      <w:r w:rsidRPr="009966CE">
        <w:rPr>
          <w:sz w:val="22"/>
          <w:szCs w:val="22"/>
        </w:rPr>
        <w:t>.</w:t>
      </w:r>
      <w:r w:rsidRPr="009966CE">
        <w:rPr>
          <w:rFonts w:eastAsiaTheme="minorHAnsi"/>
          <w:sz w:val="22"/>
          <w:szCs w:val="22"/>
        </w:rPr>
        <w:t xml:space="preserve"> </w:t>
      </w:r>
      <w:proofErr w:type="spellStart"/>
      <w:r w:rsidRPr="009966CE">
        <w:rPr>
          <w:rFonts w:eastAsiaTheme="minorHAnsi"/>
          <w:sz w:val="22"/>
          <w:szCs w:val="22"/>
        </w:rPr>
        <w:t>Bioceramics</w:t>
      </w:r>
      <w:proofErr w:type="spellEnd"/>
      <w:r w:rsidRPr="009966CE">
        <w:rPr>
          <w:rFonts w:eastAsiaTheme="minorHAnsi"/>
          <w:sz w:val="22"/>
          <w:szCs w:val="22"/>
        </w:rPr>
        <w:t xml:space="preserve"> such as hydroxyapatite (HA), calcium phosphate, and </w:t>
      </w:r>
      <w:proofErr w:type="spellStart"/>
      <w:r w:rsidRPr="009966CE">
        <w:rPr>
          <w:rFonts w:eastAsiaTheme="minorHAnsi"/>
          <w:sz w:val="22"/>
          <w:szCs w:val="22"/>
        </w:rPr>
        <w:t>bioglass</w:t>
      </w:r>
      <w:proofErr w:type="spellEnd"/>
      <w:r w:rsidRPr="009966CE">
        <w:rPr>
          <w:rFonts w:eastAsiaTheme="minorHAnsi"/>
          <w:sz w:val="22"/>
          <w:szCs w:val="22"/>
        </w:rPr>
        <w:t xml:space="preserve">, are osteogenic and promote cell proliferation, though they have been shown to lack appropriate mechanical strength. </w:t>
      </w:r>
      <w:r w:rsidRPr="009966CE">
        <w:rPr>
          <w:rFonts w:eastAsiaTheme="minorHAnsi"/>
          <w:sz w:val="22"/>
          <w:szCs w:val="22"/>
        </w:rPr>
        <w:br/>
      </w:r>
      <w:r w:rsidRPr="009966CE">
        <w:rPr>
          <w:rFonts w:eastAsiaTheme="minorHAnsi"/>
          <w:sz w:val="22"/>
          <w:szCs w:val="22"/>
        </w:rPr>
        <w:br/>
      </w:r>
      <w:r w:rsidR="0027139D" w:rsidRPr="009966CE">
        <w:rPr>
          <w:rFonts w:eastAsiaTheme="minorHAnsi"/>
          <w:sz w:val="22"/>
          <w:szCs w:val="22"/>
        </w:rPr>
        <w:t>C</w:t>
      </w:r>
      <w:r w:rsidRPr="009966CE">
        <w:rPr>
          <w:rFonts w:eastAsiaTheme="minorHAnsi"/>
          <w:sz w:val="22"/>
          <w:szCs w:val="22"/>
        </w:rPr>
        <w:t xml:space="preserve">omposite scaffolds of HA and </w:t>
      </w:r>
      <w:proofErr w:type="spellStart"/>
      <w:r w:rsidRPr="009966CE">
        <w:rPr>
          <w:rFonts w:eastAsiaTheme="minorHAnsi"/>
          <w:sz w:val="22"/>
          <w:szCs w:val="22"/>
        </w:rPr>
        <w:t>tricalcium</w:t>
      </w:r>
      <w:proofErr w:type="spellEnd"/>
      <w:r w:rsidRPr="009966CE">
        <w:rPr>
          <w:rFonts w:eastAsiaTheme="minorHAnsi"/>
          <w:sz w:val="22"/>
          <w:szCs w:val="22"/>
        </w:rPr>
        <w:t xml:space="preserve"> phosphate and </w:t>
      </w:r>
      <w:proofErr w:type="spellStart"/>
      <w:r w:rsidRPr="009966CE">
        <w:rPr>
          <w:rFonts w:eastAsiaTheme="minorHAnsi"/>
          <w:sz w:val="22"/>
          <w:szCs w:val="22"/>
        </w:rPr>
        <w:t>polycaprolactone</w:t>
      </w:r>
      <w:proofErr w:type="spellEnd"/>
      <w:r w:rsidRPr="009966CE">
        <w:rPr>
          <w:rFonts w:eastAsiaTheme="minorHAnsi"/>
          <w:sz w:val="22"/>
          <w:szCs w:val="22"/>
        </w:rPr>
        <w:t xml:space="preserve"> (PCL)-HA with carbon backbones have been investigated to optimize biocompatibility and architecture to improve the porosity and mechanical strength of these constructs. Furthermore, microscale manipulation of biomaterials allow for integration of antimicrobial properties to combat infection.</w:t>
      </w:r>
      <w:r w:rsidRPr="009966CE">
        <w:rPr>
          <w:rFonts w:eastAsiaTheme="minorHAnsi"/>
          <w:sz w:val="22"/>
          <w:szCs w:val="22"/>
        </w:rPr>
        <w:br/>
      </w:r>
    </w:p>
    <w:p w:rsidR="00CB1996" w:rsidRPr="009966CE" w:rsidRDefault="001A33DB">
      <w:pPr>
        <w:rPr>
          <w:sz w:val="22"/>
          <w:szCs w:val="22"/>
        </w:rPr>
      </w:pPr>
      <w:r w:rsidRPr="009966CE">
        <w:rPr>
          <w:noProof/>
          <w:sz w:val="22"/>
          <w:szCs w:val="22"/>
        </w:rPr>
        <w:lastRenderedPageBreak/>
        <w:drawing>
          <wp:inline distT="0" distB="0" distL="0" distR="0">
            <wp:extent cx="5943600" cy="3010989"/>
            <wp:effectExtent l="0" t="0" r="0" b="0"/>
            <wp:docPr id="1" name="Picture 1" descr="C:\Users\Dan\Desktop\CV\DcW Research\3D Biomaterials Abstr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Desktop\CV\DcW Research\3D Biomaterials Abstract.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010989"/>
                    </a:xfrm>
                    <a:prstGeom prst="rect">
                      <a:avLst/>
                    </a:prstGeom>
                    <a:noFill/>
                    <a:ln>
                      <a:noFill/>
                    </a:ln>
                  </pic:spPr>
                </pic:pic>
              </a:graphicData>
            </a:graphic>
          </wp:inline>
        </w:drawing>
      </w:r>
    </w:p>
    <w:p w:rsidR="000124D0" w:rsidRPr="009966CE" w:rsidRDefault="000124D0" w:rsidP="000124D0">
      <w:pPr>
        <w:rPr>
          <w:sz w:val="22"/>
          <w:szCs w:val="22"/>
        </w:rPr>
      </w:pPr>
      <w:r w:rsidRPr="009966CE">
        <w:rPr>
          <w:bCs/>
          <w:sz w:val="22"/>
          <w:szCs w:val="22"/>
          <w:shd w:val="clear" w:color="auto" w:fill="FFFFFF"/>
        </w:rPr>
        <w:br/>
      </w:r>
      <w:r w:rsidRPr="009966CE">
        <w:rPr>
          <w:b/>
          <w:bCs/>
          <w:sz w:val="22"/>
          <w:szCs w:val="22"/>
          <w:shd w:val="clear" w:color="auto" w:fill="FFFFFF"/>
        </w:rPr>
        <w:t>Publications</w:t>
      </w:r>
      <w:proofErr w:type="gramStart"/>
      <w:r w:rsidRPr="009966CE">
        <w:rPr>
          <w:b/>
          <w:bCs/>
          <w:sz w:val="22"/>
          <w:szCs w:val="22"/>
          <w:shd w:val="clear" w:color="auto" w:fill="FFFFFF"/>
        </w:rPr>
        <w:t>:</w:t>
      </w:r>
      <w:proofErr w:type="gramEnd"/>
      <w:r w:rsidRPr="009966CE">
        <w:rPr>
          <w:b/>
          <w:bCs/>
          <w:sz w:val="22"/>
          <w:szCs w:val="22"/>
          <w:shd w:val="clear" w:color="auto" w:fill="FFFFFF"/>
        </w:rPr>
        <w:br/>
      </w:r>
      <w:r w:rsidRPr="009966CE">
        <w:rPr>
          <w:bCs/>
          <w:sz w:val="22"/>
          <w:szCs w:val="22"/>
          <w:shd w:val="clear" w:color="auto" w:fill="FFFFFF"/>
        </w:rPr>
        <w:br/>
        <w:t xml:space="preserve">Turin SY, </w:t>
      </w:r>
      <w:r w:rsidRPr="009966CE">
        <w:rPr>
          <w:b/>
          <w:bCs/>
          <w:sz w:val="22"/>
          <w:szCs w:val="22"/>
          <w:shd w:val="clear" w:color="auto" w:fill="FFFFFF"/>
        </w:rPr>
        <w:t>Li D,</w:t>
      </w:r>
      <w:r w:rsidRPr="009966CE">
        <w:rPr>
          <w:bCs/>
          <w:sz w:val="22"/>
          <w:szCs w:val="22"/>
          <w:shd w:val="clear" w:color="auto" w:fill="FFFFFF"/>
        </w:rPr>
        <w:t xml:space="preserve"> Fine NA, Vaca E. “</w:t>
      </w:r>
      <w:r w:rsidRPr="009966CE">
        <w:rPr>
          <w:i/>
          <w:sz w:val="22"/>
          <w:szCs w:val="22"/>
          <w:shd w:val="clear" w:color="auto" w:fill="FFFFFF"/>
        </w:rPr>
        <w:t>Nitroglycerin Ointment for Reducing the Rate of Mastectomy Flap Necrosis in Immediate Implant Based Breast Reconstruction.”</w:t>
      </w:r>
      <w:r w:rsidRPr="009966CE">
        <w:rPr>
          <w:sz w:val="22"/>
          <w:szCs w:val="22"/>
          <w:shd w:val="clear" w:color="auto" w:fill="FFFFFF"/>
        </w:rPr>
        <w:t xml:space="preserve"> Plastic </w:t>
      </w:r>
      <w:r w:rsidRPr="009966CE">
        <w:rPr>
          <w:color w:val="212121"/>
          <w:sz w:val="22"/>
          <w:szCs w:val="22"/>
          <w:shd w:val="clear" w:color="auto" w:fill="FFFFFF"/>
        </w:rPr>
        <w:t>and Reconstructive Surgery, June 2018, E-published ahead of print.</w:t>
      </w:r>
      <w:r w:rsidRPr="009966CE">
        <w:rPr>
          <w:color w:val="212121"/>
          <w:sz w:val="22"/>
          <w:szCs w:val="22"/>
          <w:shd w:val="clear" w:color="auto" w:fill="FFFFFF"/>
        </w:rPr>
        <w:br/>
      </w:r>
    </w:p>
    <w:p w:rsidR="000124D0" w:rsidRPr="009966CE" w:rsidRDefault="000124D0" w:rsidP="000124D0">
      <w:pPr>
        <w:rPr>
          <w:b/>
          <w:sz w:val="22"/>
          <w:szCs w:val="22"/>
        </w:rPr>
      </w:pPr>
      <w:r w:rsidRPr="009966CE">
        <w:rPr>
          <w:sz w:val="22"/>
          <w:szCs w:val="22"/>
        </w:rPr>
        <w:t xml:space="preserve">Butler BA, Fitz DW, Lawton CD, </w:t>
      </w:r>
      <w:r w:rsidRPr="009966CE">
        <w:rPr>
          <w:b/>
          <w:sz w:val="22"/>
          <w:szCs w:val="22"/>
        </w:rPr>
        <w:t>Li D,</w:t>
      </w:r>
      <w:r w:rsidRPr="009966CE">
        <w:rPr>
          <w:sz w:val="22"/>
          <w:szCs w:val="22"/>
        </w:rPr>
        <w:t xml:space="preserve"> </w:t>
      </w:r>
      <w:proofErr w:type="spellStart"/>
      <w:r w:rsidRPr="009966CE">
        <w:rPr>
          <w:sz w:val="22"/>
          <w:szCs w:val="22"/>
        </w:rPr>
        <w:t>Balderama</w:t>
      </w:r>
      <w:proofErr w:type="spellEnd"/>
      <w:r w:rsidRPr="009966CE">
        <w:rPr>
          <w:sz w:val="22"/>
          <w:szCs w:val="22"/>
        </w:rPr>
        <w:t xml:space="preserve"> ES, Stover, MD. </w:t>
      </w:r>
      <w:r w:rsidRPr="009966CE">
        <w:rPr>
          <w:i/>
          <w:sz w:val="22"/>
          <w:szCs w:val="22"/>
        </w:rPr>
        <w:t>“Early Diagnosis of Septic Arthritis in Immunocompromised Patients.”</w:t>
      </w:r>
      <w:r w:rsidRPr="009966CE">
        <w:rPr>
          <w:sz w:val="22"/>
          <w:szCs w:val="22"/>
        </w:rPr>
        <w:t xml:space="preserve"> Journal of Orthopaedic Science, vol. 23, no. 2, 5 Mar. 2018</w:t>
      </w:r>
      <w:r w:rsidRPr="009966CE">
        <w:rPr>
          <w:sz w:val="22"/>
          <w:szCs w:val="22"/>
        </w:rPr>
        <w:br/>
      </w:r>
      <w:r w:rsidRPr="009966CE">
        <w:rPr>
          <w:sz w:val="22"/>
          <w:szCs w:val="22"/>
        </w:rPr>
        <w:br/>
      </w:r>
      <w:r w:rsidRPr="009966CE">
        <w:rPr>
          <w:b/>
          <w:sz w:val="22"/>
          <w:szCs w:val="22"/>
        </w:rPr>
        <w:t>Li D,</w:t>
      </w:r>
      <w:r w:rsidRPr="009966CE">
        <w:rPr>
          <w:sz w:val="22"/>
          <w:szCs w:val="22"/>
        </w:rPr>
        <w:t xml:space="preserve"> </w:t>
      </w:r>
      <w:proofErr w:type="spellStart"/>
      <w:r w:rsidRPr="009966CE">
        <w:rPr>
          <w:sz w:val="22"/>
          <w:szCs w:val="22"/>
        </w:rPr>
        <w:t>Pengfei</w:t>
      </w:r>
      <w:proofErr w:type="spellEnd"/>
      <w:r w:rsidRPr="009966CE">
        <w:rPr>
          <w:sz w:val="22"/>
          <w:szCs w:val="22"/>
        </w:rPr>
        <w:t xml:space="preserve"> L, </w:t>
      </w:r>
      <w:proofErr w:type="spellStart"/>
      <w:r w:rsidRPr="009966CE">
        <w:rPr>
          <w:sz w:val="22"/>
          <w:szCs w:val="22"/>
        </w:rPr>
        <w:t>Linfeng</w:t>
      </w:r>
      <w:proofErr w:type="spellEnd"/>
      <w:r w:rsidRPr="009966CE">
        <w:rPr>
          <w:sz w:val="22"/>
          <w:szCs w:val="22"/>
        </w:rPr>
        <w:t xml:space="preserve"> F, Huang Y, Yang F, Mei X, Wu D. </w:t>
      </w:r>
      <w:r w:rsidRPr="009966CE">
        <w:rPr>
          <w:i/>
          <w:sz w:val="22"/>
          <w:szCs w:val="22"/>
        </w:rPr>
        <w:t xml:space="preserve">“The Immobilization of Antibiotic-Loaded Polymeric Coatings on Osteoarticular </w:t>
      </w:r>
      <w:proofErr w:type="spellStart"/>
      <w:r w:rsidRPr="009966CE">
        <w:rPr>
          <w:i/>
          <w:sz w:val="22"/>
          <w:szCs w:val="22"/>
        </w:rPr>
        <w:t>Ti</w:t>
      </w:r>
      <w:proofErr w:type="spellEnd"/>
      <w:r w:rsidRPr="009966CE">
        <w:rPr>
          <w:i/>
          <w:sz w:val="22"/>
          <w:szCs w:val="22"/>
        </w:rPr>
        <w:t xml:space="preserve"> Implants for the Prevention of Bone Infections.”</w:t>
      </w:r>
      <w:r w:rsidRPr="009966CE">
        <w:rPr>
          <w:sz w:val="22"/>
          <w:szCs w:val="22"/>
        </w:rPr>
        <w:t> Biomaterials Science, vol. 5, no. 11, 2017, pp. 2337–2346.</w:t>
      </w:r>
      <w:r w:rsidRPr="009966CE">
        <w:rPr>
          <w:b/>
          <w:sz w:val="22"/>
          <w:szCs w:val="22"/>
        </w:rPr>
        <w:t xml:space="preserve">         </w:t>
      </w:r>
      <w:r w:rsidRPr="009966CE">
        <w:rPr>
          <w:b/>
          <w:sz w:val="22"/>
          <w:szCs w:val="22"/>
        </w:rPr>
        <w:br/>
        <w:t xml:space="preserve"> </w:t>
      </w:r>
    </w:p>
    <w:p w:rsidR="000124D0" w:rsidRPr="009966CE" w:rsidRDefault="000124D0" w:rsidP="000124D0">
      <w:pPr>
        <w:rPr>
          <w:sz w:val="22"/>
          <w:szCs w:val="22"/>
        </w:rPr>
      </w:pPr>
      <w:r w:rsidRPr="009966CE">
        <w:rPr>
          <w:b/>
          <w:sz w:val="22"/>
          <w:szCs w:val="22"/>
        </w:rPr>
        <w:t>Li D</w:t>
      </w:r>
      <w:r w:rsidRPr="009966CE">
        <w:rPr>
          <w:sz w:val="22"/>
          <w:szCs w:val="22"/>
        </w:rPr>
        <w:t xml:space="preserve">, Li L, Ma Y, Zhuang Y, Li D, Shen H, Wang X, Yang F, Ma Y, Wu D. </w:t>
      </w:r>
      <w:r w:rsidRPr="009966CE">
        <w:rPr>
          <w:i/>
          <w:sz w:val="22"/>
          <w:szCs w:val="22"/>
        </w:rPr>
        <w:t>“Dopamine-Assisted Fixation of Drug-Loaded Polymeric Multilayers to Osteoarticular Implants for Tuberculosis Therapy.”</w:t>
      </w:r>
      <w:r w:rsidRPr="009966CE">
        <w:rPr>
          <w:sz w:val="22"/>
          <w:szCs w:val="22"/>
        </w:rPr>
        <w:t> Biomaterials Science, vol. 5, no. 4, 2017, pp. 730–740.</w:t>
      </w:r>
      <w:r w:rsidRPr="009966CE">
        <w:rPr>
          <w:b/>
          <w:sz w:val="22"/>
          <w:szCs w:val="22"/>
        </w:rPr>
        <w:t xml:space="preserve">                     </w:t>
      </w:r>
    </w:p>
    <w:p w:rsidR="000124D0" w:rsidRPr="009966CE" w:rsidRDefault="000124D0" w:rsidP="000124D0">
      <w:pPr>
        <w:spacing w:before="100" w:beforeAutospacing="1" w:after="100" w:afterAutospacing="1"/>
        <w:rPr>
          <w:sz w:val="22"/>
          <w:szCs w:val="22"/>
        </w:rPr>
      </w:pPr>
      <w:proofErr w:type="spellStart"/>
      <w:r w:rsidRPr="009966CE">
        <w:rPr>
          <w:sz w:val="22"/>
          <w:szCs w:val="22"/>
        </w:rPr>
        <w:t>Kuiken</w:t>
      </w:r>
      <w:proofErr w:type="spellEnd"/>
      <w:r w:rsidRPr="009966CE">
        <w:rPr>
          <w:sz w:val="22"/>
          <w:szCs w:val="22"/>
        </w:rPr>
        <w:t xml:space="preserve"> TA, Bennet BA, Sharkey T, Ivy AD, </w:t>
      </w:r>
      <w:r w:rsidRPr="009966CE">
        <w:rPr>
          <w:b/>
          <w:sz w:val="22"/>
          <w:szCs w:val="22"/>
        </w:rPr>
        <w:t>Li D,</w:t>
      </w:r>
      <w:r w:rsidRPr="009966CE">
        <w:rPr>
          <w:sz w:val="22"/>
          <w:szCs w:val="22"/>
        </w:rPr>
        <w:t xml:space="preserve"> Peabody TD</w:t>
      </w:r>
      <w:r w:rsidRPr="009966CE">
        <w:rPr>
          <w:i/>
          <w:sz w:val="22"/>
          <w:szCs w:val="22"/>
        </w:rPr>
        <w:t>. “Novel Intramedullary Device for Lengthening Transfemoral Residual Limbs.”</w:t>
      </w:r>
      <w:r w:rsidRPr="009966CE">
        <w:rPr>
          <w:sz w:val="22"/>
          <w:szCs w:val="22"/>
        </w:rPr>
        <w:t> Journal of Orthopaedic Surgery and Research, vol. 12, no. 1, 2017</w:t>
      </w:r>
    </w:p>
    <w:p w:rsidR="000124D0" w:rsidRPr="009966CE" w:rsidRDefault="000124D0" w:rsidP="000124D0">
      <w:pPr>
        <w:rPr>
          <w:sz w:val="22"/>
          <w:szCs w:val="22"/>
        </w:rPr>
      </w:pPr>
      <w:r w:rsidRPr="009966CE">
        <w:rPr>
          <w:sz w:val="22"/>
          <w:szCs w:val="22"/>
        </w:rPr>
        <w:t xml:space="preserve">Fu S, </w:t>
      </w:r>
      <w:proofErr w:type="spellStart"/>
      <w:r w:rsidRPr="009966CE">
        <w:rPr>
          <w:sz w:val="22"/>
          <w:szCs w:val="22"/>
        </w:rPr>
        <w:t>Rossero</w:t>
      </w:r>
      <w:proofErr w:type="spellEnd"/>
      <w:r w:rsidRPr="009966CE">
        <w:rPr>
          <w:sz w:val="22"/>
          <w:szCs w:val="22"/>
        </w:rPr>
        <w:t xml:space="preserve"> J, Chen C, </w:t>
      </w:r>
      <w:proofErr w:type="spellStart"/>
      <w:r w:rsidRPr="009966CE">
        <w:rPr>
          <w:sz w:val="22"/>
          <w:szCs w:val="22"/>
        </w:rPr>
        <w:t>Alzgheir</w:t>
      </w:r>
      <w:proofErr w:type="spellEnd"/>
      <w:r w:rsidRPr="009966CE">
        <w:rPr>
          <w:sz w:val="22"/>
          <w:szCs w:val="22"/>
        </w:rPr>
        <w:t xml:space="preserve"> R, </w:t>
      </w:r>
      <w:r w:rsidRPr="009966CE">
        <w:rPr>
          <w:b/>
          <w:sz w:val="22"/>
          <w:szCs w:val="22"/>
        </w:rPr>
        <w:t>Li D,</w:t>
      </w:r>
      <w:r w:rsidRPr="009966CE">
        <w:rPr>
          <w:sz w:val="22"/>
          <w:szCs w:val="22"/>
        </w:rPr>
        <w:t xml:space="preserve"> </w:t>
      </w:r>
      <w:proofErr w:type="spellStart"/>
      <w:r w:rsidRPr="009966CE">
        <w:rPr>
          <w:sz w:val="22"/>
          <w:szCs w:val="22"/>
        </w:rPr>
        <w:t>Takoudis</w:t>
      </w:r>
      <w:proofErr w:type="spellEnd"/>
      <w:r w:rsidRPr="009966CE">
        <w:rPr>
          <w:sz w:val="22"/>
          <w:szCs w:val="22"/>
        </w:rPr>
        <w:t xml:space="preserve">, C. </w:t>
      </w:r>
      <w:r w:rsidRPr="009966CE">
        <w:rPr>
          <w:i/>
          <w:sz w:val="22"/>
          <w:szCs w:val="22"/>
        </w:rPr>
        <w:t>“On the Wetting Behavior of Ceria Thin Films Grown by Pulsed Laser Deposition.”</w:t>
      </w:r>
      <w:r w:rsidRPr="009966CE">
        <w:rPr>
          <w:sz w:val="22"/>
          <w:szCs w:val="22"/>
        </w:rPr>
        <w:t> Applied Physics Letters, vol. 110, no. 8, 2017</w:t>
      </w:r>
    </w:p>
    <w:p w:rsidR="00252D92" w:rsidRPr="009966CE" w:rsidRDefault="000124D0" w:rsidP="00252D92">
      <w:pPr>
        <w:spacing w:line="480" w:lineRule="auto"/>
        <w:rPr>
          <w:color w:val="000000" w:themeColor="text1"/>
          <w:sz w:val="22"/>
          <w:szCs w:val="22"/>
          <w:shd w:val="clear" w:color="auto" w:fill="FFFFFF"/>
        </w:rPr>
      </w:pPr>
      <w:r w:rsidRPr="009966CE">
        <w:rPr>
          <w:color w:val="000000" w:themeColor="text1"/>
          <w:sz w:val="22"/>
          <w:szCs w:val="22"/>
          <w:shd w:val="clear" w:color="auto" w:fill="FFFFFF"/>
        </w:rPr>
        <w:br/>
      </w:r>
    </w:p>
    <w:p w:rsidR="000124D0" w:rsidRPr="009966CE" w:rsidRDefault="000124D0" w:rsidP="00252D92">
      <w:pPr>
        <w:spacing w:line="480" w:lineRule="auto"/>
        <w:rPr>
          <w:b/>
          <w:color w:val="C00000"/>
          <w:sz w:val="22"/>
          <w:szCs w:val="22"/>
        </w:rPr>
      </w:pPr>
      <w:r w:rsidRPr="009966CE">
        <w:rPr>
          <w:b/>
          <w:noProof/>
          <w:color w:val="C00000"/>
          <w:sz w:val="22"/>
          <w:szCs w:val="22"/>
        </w:rPr>
        <w:lastRenderedPageBreak/>
        <w:drawing>
          <wp:inline distT="0" distB="0" distL="0" distR="0">
            <wp:extent cx="1603341" cy="1836751"/>
            <wp:effectExtent l="0" t="0" r="0" b="0"/>
            <wp:docPr id="2" name="Picture 2" descr="C:\Users\Dan\Desktop\CV\Daniel Li Professional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Desktop\CV\Daniel Li Professional Phot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2604" cy="1847363"/>
                    </a:xfrm>
                    <a:prstGeom prst="rect">
                      <a:avLst/>
                    </a:prstGeom>
                    <a:noFill/>
                    <a:ln>
                      <a:noFill/>
                    </a:ln>
                  </pic:spPr>
                </pic:pic>
              </a:graphicData>
            </a:graphic>
          </wp:inline>
        </w:drawing>
      </w:r>
    </w:p>
    <w:p w:rsidR="00252D92" w:rsidRDefault="000124D0">
      <w:pPr>
        <w:rPr>
          <w:sz w:val="22"/>
          <w:szCs w:val="22"/>
        </w:rPr>
      </w:pPr>
      <w:r w:rsidRPr="009966CE">
        <w:rPr>
          <w:sz w:val="22"/>
          <w:szCs w:val="22"/>
        </w:rPr>
        <w:t>Daniel (Dan) Li has participated in a wide variety of both basic and clinical research regarding biomaterials in the context of orthopaedic applications, such as the use of hydrogels as a novel drug-eluting mechanism to combat osteomyelitis and tuberculosis infection. He has spent significant time overseas with the orthopaedics department at the 309</w:t>
      </w:r>
      <w:r w:rsidRPr="009966CE">
        <w:rPr>
          <w:sz w:val="22"/>
          <w:szCs w:val="22"/>
          <w:vertAlign w:val="superscript"/>
        </w:rPr>
        <w:t>th</w:t>
      </w:r>
      <w:r w:rsidRPr="009966CE">
        <w:rPr>
          <w:sz w:val="22"/>
          <w:szCs w:val="22"/>
        </w:rPr>
        <w:t xml:space="preserve"> Hospital of the PLA in Beijing, China, working under the team of Dr. </w:t>
      </w:r>
      <w:proofErr w:type="spellStart"/>
      <w:r w:rsidRPr="009966CE">
        <w:rPr>
          <w:sz w:val="22"/>
          <w:szCs w:val="22"/>
        </w:rPr>
        <w:t>Yuanzheng</w:t>
      </w:r>
      <w:proofErr w:type="spellEnd"/>
      <w:r w:rsidRPr="009966CE">
        <w:rPr>
          <w:sz w:val="22"/>
          <w:szCs w:val="22"/>
        </w:rPr>
        <w:t xml:space="preserve"> Ma, as well as completing his undergraduate degree in Materials Science and Engineering at the University of Illinois. There, he conducted research under the John Rogers Research Group investigating novel biodegradable electronics. Currently, he is performing clinical outcomes research at Northwestern University regarding the evaluation of prosthetic joint infection.</w:t>
      </w:r>
    </w:p>
    <w:p w:rsidR="00314A25" w:rsidRDefault="00314A25">
      <w:pPr>
        <w:rPr>
          <w:sz w:val="22"/>
          <w:szCs w:val="22"/>
        </w:rPr>
      </w:pPr>
    </w:p>
    <w:p w:rsidR="00314A25" w:rsidRDefault="00314A25" w:rsidP="00314A25">
      <w:hyperlink r:id="rId6" w:history="1">
        <w:r w:rsidRPr="00544EF6">
          <w:rPr>
            <w:rStyle w:val="Hyperlink"/>
          </w:rPr>
          <w:t>Daniel.li1@northwestern.edu</w:t>
        </w:r>
      </w:hyperlink>
    </w:p>
    <w:p w:rsidR="00314A25" w:rsidRDefault="00314A25" w:rsidP="00314A25">
      <w:r>
        <w:t>630-917-5096</w:t>
      </w:r>
    </w:p>
    <w:p w:rsidR="00314A25" w:rsidRPr="009966CE" w:rsidRDefault="00314A25" w:rsidP="00314A25">
      <w:pPr>
        <w:rPr>
          <w:sz w:val="22"/>
          <w:szCs w:val="22"/>
        </w:rPr>
      </w:pPr>
      <w:r>
        <w:t>Poster Presentation</w:t>
      </w:r>
      <w:bookmarkStart w:id="0" w:name="_GoBack"/>
      <w:bookmarkEnd w:id="0"/>
    </w:p>
    <w:sectPr w:rsidR="00314A25" w:rsidRPr="009966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3DB"/>
    <w:rsid w:val="000124D0"/>
    <w:rsid w:val="000E4862"/>
    <w:rsid w:val="00141A8D"/>
    <w:rsid w:val="001A33DB"/>
    <w:rsid w:val="001B215D"/>
    <w:rsid w:val="00252D92"/>
    <w:rsid w:val="0027139D"/>
    <w:rsid w:val="00314A25"/>
    <w:rsid w:val="0047258D"/>
    <w:rsid w:val="00722D77"/>
    <w:rsid w:val="00966186"/>
    <w:rsid w:val="009966CE"/>
    <w:rsid w:val="00A51B6B"/>
    <w:rsid w:val="00CB1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563B37-EE85-457A-9E8E-574092380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D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33DB"/>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314A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niel.li1@northwestern.edu"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706</Words>
  <Characters>4026</Characters>
  <Application>Microsoft Office Word</Application>
  <DocSecurity>0</DocSecurity>
  <Lines>33</Lines>
  <Paragraphs>9</Paragraphs>
  <ScaleCrop>false</ScaleCrop>
  <Company/>
  <LinksUpToDate>false</LinksUpToDate>
  <CharactersWithSpaces>4723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Li</dc:creator>
  <cp:keywords/>
  <dc:description/>
  <cp:lastModifiedBy>Daniel Li</cp:lastModifiedBy>
  <cp:revision>13</cp:revision>
  <dcterms:created xsi:type="dcterms:W3CDTF">2018-07-23T02:10:00Z</dcterms:created>
  <dcterms:modified xsi:type="dcterms:W3CDTF">2018-07-30T19:13:00Z</dcterms:modified>
</cp:coreProperties>
</file>