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3F1F" w:rsidRPr="00033F1F" w:rsidRDefault="00033F1F" w:rsidP="00033F1F">
      <w:pPr>
        <w:pStyle w:val="a3"/>
        <w:spacing w:before="73"/>
        <w:ind w:left="100" w:right="58"/>
        <w:rPr>
          <w:rFonts w:ascii="Minion Pro" w:eastAsia="Minion Pro" w:hAnsi="Minion Pro" w:cs="Minion Pro"/>
          <w:b/>
          <w:bCs/>
          <w:color w:val="337AB7"/>
          <w:sz w:val="36"/>
          <w:szCs w:val="36"/>
        </w:rPr>
      </w:pPr>
      <w:r w:rsidRPr="00033F1F">
        <w:rPr>
          <w:rFonts w:ascii="Minion Pro" w:eastAsia="Minion Pro" w:hAnsi="Minion Pro" w:cs="Minion Pro"/>
          <w:b/>
          <w:bCs/>
          <w:color w:val="337AB7"/>
          <w:sz w:val="36"/>
          <w:szCs w:val="36"/>
        </w:rPr>
        <w:t xml:space="preserve">Magnetic carbon nanomaterials as matrices for the immobilization </w:t>
      </w:r>
    </w:p>
    <w:p w:rsidR="00033F1F" w:rsidRDefault="00033F1F" w:rsidP="00033F1F">
      <w:pPr>
        <w:pStyle w:val="a3"/>
        <w:spacing w:before="73"/>
        <w:ind w:left="100" w:right="58"/>
        <w:rPr>
          <w:rFonts w:ascii="Minion Pro" w:eastAsia="Minion Pro" w:hAnsi="Minion Pro" w:cs="Minion Pro"/>
          <w:b/>
          <w:bCs/>
          <w:color w:val="337AB7"/>
          <w:sz w:val="36"/>
          <w:szCs w:val="36"/>
        </w:rPr>
      </w:pPr>
      <w:proofErr w:type="gramStart"/>
      <w:r w:rsidRPr="00033F1F">
        <w:rPr>
          <w:rFonts w:ascii="Minion Pro" w:eastAsia="Minion Pro" w:hAnsi="Minion Pro" w:cs="Minion Pro"/>
          <w:b/>
          <w:bCs/>
          <w:color w:val="337AB7"/>
          <w:sz w:val="36"/>
          <w:szCs w:val="36"/>
        </w:rPr>
        <w:t>of</w:t>
      </w:r>
      <w:proofErr w:type="gramEnd"/>
      <w:r w:rsidRPr="00033F1F">
        <w:rPr>
          <w:rFonts w:ascii="Minion Pro" w:eastAsia="Minion Pro" w:hAnsi="Minion Pro" w:cs="Minion Pro"/>
          <w:b/>
          <w:bCs/>
          <w:color w:val="337AB7"/>
          <w:sz w:val="36"/>
          <w:szCs w:val="36"/>
        </w:rPr>
        <w:t xml:space="preserve"> cellulolytic enzymes</w:t>
      </w:r>
    </w:p>
    <w:p w:rsidR="00033F1F" w:rsidRDefault="00033F1F" w:rsidP="00033F1F">
      <w:pPr>
        <w:pStyle w:val="a3"/>
        <w:spacing w:before="73"/>
        <w:ind w:left="100" w:right="5987"/>
        <w:rPr>
          <w:rFonts w:ascii="Minion Pro" w:eastAsia="Minion Pro" w:hAnsi="Minion Pro" w:cs="Minion Pro"/>
          <w:b/>
          <w:bCs/>
          <w:color w:val="337AB7"/>
          <w:sz w:val="36"/>
          <w:szCs w:val="36"/>
        </w:rPr>
      </w:pPr>
    </w:p>
    <w:p w:rsidR="00033F1F" w:rsidRPr="00033F1F" w:rsidRDefault="00033F1F" w:rsidP="00033F1F">
      <w:pPr>
        <w:pStyle w:val="a3"/>
        <w:spacing w:before="73"/>
        <w:ind w:left="100" w:right="58"/>
        <w:rPr>
          <w:rFonts w:ascii="Arial"/>
        </w:rPr>
      </w:pPr>
      <w:r w:rsidRPr="00033F1F">
        <w:t xml:space="preserve"> </w:t>
      </w:r>
      <w:r w:rsidRPr="00033F1F">
        <w:rPr>
          <w:rFonts w:ascii="Arial"/>
        </w:rPr>
        <w:t>A.Papadopoulou</w:t>
      </w:r>
      <w:r w:rsidRPr="00033F1F">
        <w:rPr>
          <w:rFonts w:ascii="Arial"/>
          <w:vertAlign w:val="superscript"/>
        </w:rPr>
        <w:t>1</w:t>
      </w:r>
      <w:r w:rsidRPr="00033F1F">
        <w:rPr>
          <w:rFonts w:ascii="Arial"/>
        </w:rPr>
        <w:t>, D.  Zarafeta</w:t>
      </w:r>
      <w:r w:rsidRPr="00033F1F">
        <w:rPr>
          <w:rFonts w:ascii="Arial"/>
          <w:vertAlign w:val="superscript"/>
        </w:rPr>
        <w:t>2</w:t>
      </w:r>
      <w:r w:rsidRPr="00033F1F">
        <w:rPr>
          <w:rFonts w:ascii="Arial"/>
        </w:rPr>
        <w:t>, A. Galanopoulou</w:t>
      </w:r>
      <w:r w:rsidRPr="00033F1F">
        <w:rPr>
          <w:rFonts w:ascii="Arial"/>
          <w:vertAlign w:val="superscript"/>
        </w:rPr>
        <w:t>3</w:t>
      </w:r>
      <w:r w:rsidRPr="00033F1F">
        <w:rPr>
          <w:rFonts w:ascii="Arial"/>
        </w:rPr>
        <w:t xml:space="preserve"> and</w:t>
      </w:r>
      <w:r>
        <w:rPr>
          <w:rFonts w:ascii="Arial"/>
        </w:rPr>
        <w:t xml:space="preserve"> </w:t>
      </w:r>
      <w:r w:rsidRPr="00033F1F">
        <w:rPr>
          <w:rFonts w:ascii="Arial"/>
        </w:rPr>
        <w:t>H. Stamatis</w:t>
      </w:r>
      <w:r w:rsidRPr="00033F1F">
        <w:rPr>
          <w:rFonts w:ascii="Arial"/>
          <w:vertAlign w:val="superscript"/>
        </w:rPr>
        <w:t>1</w:t>
      </w:r>
    </w:p>
    <w:p w:rsidR="00033F1F" w:rsidRPr="00033F1F" w:rsidRDefault="00033F1F" w:rsidP="00033F1F">
      <w:pPr>
        <w:pStyle w:val="a3"/>
        <w:spacing w:before="73"/>
        <w:ind w:left="100" w:right="58"/>
        <w:rPr>
          <w:rFonts w:ascii="Arial"/>
        </w:rPr>
      </w:pPr>
    </w:p>
    <w:p w:rsidR="00033F1F" w:rsidRPr="00033F1F" w:rsidRDefault="00033F1F" w:rsidP="00033F1F">
      <w:pPr>
        <w:pStyle w:val="a3"/>
        <w:spacing w:before="73"/>
        <w:ind w:left="100" w:right="58"/>
        <w:rPr>
          <w:rFonts w:ascii="Arial"/>
        </w:rPr>
      </w:pPr>
      <w:r w:rsidRPr="00033F1F">
        <w:rPr>
          <w:rFonts w:ascii="Arial"/>
          <w:vertAlign w:val="superscript"/>
        </w:rPr>
        <w:t>1</w:t>
      </w:r>
      <w:r w:rsidRPr="00033F1F">
        <w:rPr>
          <w:rFonts w:ascii="Arial"/>
        </w:rPr>
        <w:t>Department of Biological Applications and Technologies, University of Ioannina, Ioannina, 45110, Greece</w:t>
      </w:r>
    </w:p>
    <w:p w:rsidR="00033F1F" w:rsidRPr="00033F1F" w:rsidRDefault="00033F1F" w:rsidP="00033F1F">
      <w:pPr>
        <w:pStyle w:val="a3"/>
        <w:spacing w:before="73"/>
        <w:ind w:left="100" w:right="58"/>
        <w:rPr>
          <w:rFonts w:ascii="Arial"/>
        </w:rPr>
      </w:pPr>
      <w:r w:rsidRPr="00033F1F">
        <w:rPr>
          <w:rFonts w:ascii="Arial"/>
          <w:vertAlign w:val="superscript"/>
        </w:rPr>
        <w:t>2</w:t>
      </w:r>
      <w:r w:rsidRPr="00033F1F">
        <w:rPr>
          <w:rFonts w:ascii="Arial"/>
        </w:rPr>
        <w:t>National Hellenic Research Foundation, Athens, 11635, Greece</w:t>
      </w:r>
    </w:p>
    <w:p w:rsidR="005973B9" w:rsidRDefault="00033F1F" w:rsidP="00033F1F">
      <w:pPr>
        <w:pStyle w:val="a3"/>
        <w:spacing w:before="73"/>
        <w:ind w:left="100" w:right="58"/>
        <w:rPr>
          <w:rFonts w:ascii="Arial"/>
        </w:rPr>
      </w:pPr>
      <w:r w:rsidRPr="00033F1F">
        <w:rPr>
          <w:rFonts w:ascii="Arial"/>
          <w:vertAlign w:val="superscript"/>
        </w:rPr>
        <w:t>3</w:t>
      </w:r>
      <w:r w:rsidRPr="00033F1F">
        <w:rPr>
          <w:rFonts w:ascii="Arial"/>
        </w:rPr>
        <w:t>Department of Biology, National University of Athens, Athens, Greece</w:t>
      </w:r>
      <w:r>
        <w:rPr>
          <w:rFonts w:ascii="Arial"/>
        </w:rPr>
        <w:t xml:space="preserve"> </w:t>
      </w:r>
    </w:p>
    <w:p w:rsidR="00033F1F" w:rsidRDefault="00033F1F">
      <w:pPr>
        <w:pStyle w:val="3"/>
        <w:spacing w:before="147"/>
        <w:jc w:val="both"/>
        <w:rPr>
          <w:color w:val="BF5A14"/>
        </w:rPr>
      </w:pPr>
    </w:p>
    <w:p w:rsidR="00AE3E37" w:rsidRDefault="00A9710C">
      <w:pPr>
        <w:pStyle w:val="3"/>
        <w:spacing w:before="147"/>
        <w:jc w:val="both"/>
      </w:pPr>
      <w:r>
        <w:rPr>
          <w:color w:val="BF5A14"/>
        </w:rPr>
        <w:t>Abstract</w:t>
      </w:r>
      <w:r w:rsidR="00404E5B">
        <w:rPr>
          <w:color w:val="BF5A14"/>
        </w:rPr>
        <w:t xml:space="preserve"> </w:t>
      </w:r>
    </w:p>
    <w:p w:rsidR="00033F1F" w:rsidRPr="00033F1F" w:rsidRDefault="00033F1F" w:rsidP="00033F1F">
      <w:pPr>
        <w:pStyle w:val="3"/>
        <w:spacing w:before="74"/>
        <w:ind w:left="0"/>
        <w:jc w:val="both"/>
        <w:rPr>
          <w:rFonts w:ascii="Tw Cen MT" w:eastAsia="Tw Cen MT" w:hAnsi="Tw Cen MT" w:cs="Tw Cen MT"/>
          <w:b w:val="0"/>
          <w:bCs w:val="0"/>
          <w:sz w:val="18"/>
          <w:szCs w:val="18"/>
        </w:rPr>
      </w:pPr>
      <w:r w:rsidRPr="00033F1F">
        <w:rPr>
          <w:rFonts w:ascii="Tw Cen MT" w:eastAsia="Tw Cen MT" w:hAnsi="Tw Cen MT" w:cs="Tw Cen MT"/>
          <w:b w:val="0"/>
          <w:bCs w:val="0"/>
          <w:sz w:val="18"/>
          <w:szCs w:val="18"/>
        </w:rPr>
        <w:t xml:space="preserve">The development of novel </w:t>
      </w:r>
      <w:proofErr w:type="spellStart"/>
      <w:r w:rsidRPr="00033F1F">
        <w:rPr>
          <w:rFonts w:ascii="Tw Cen MT" w:eastAsia="Tw Cen MT" w:hAnsi="Tw Cen MT" w:cs="Tw Cen MT"/>
          <w:b w:val="0"/>
          <w:bCs w:val="0"/>
          <w:sz w:val="18"/>
          <w:szCs w:val="18"/>
        </w:rPr>
        <w:t>nanobiocatalytic</w:t>
      </w:r>
      <w:proofErr w:type="spellEnd"/>
      <w:r w:rsidRPr="00033F1F">
        <w:rPr>
          <w:rFonts w:ascii="Tw Cen MT" w:eastAsia="Tw Cen MT" w:hAnsi="Tw Cen MT" w:cs="Tw Cen MT"/>
          <w:b w:val="0"/>
          <w:bCs w:val="0"/>
          <w:sz w:val="18"/>
          <w:szCs w:val="18"/>
        </w:rPr>
        <w:t xml:space="preserve"> systems through the immobilization of enzymes on nanoscale materials has attracted much scientific interest and their potential use for applications in various industrial fields has been widely recognized [1]. Among the different types of nanomaterials applied for this purpose, carbon-based materials, such as graphene oxide (GO), the oxidized derivative of graphene, and hierarchical porous carbons (</w:t>
      </w:r>
      <w:proofErr w:type="spellStart"/>
      <w:r w:rsidRPr="00033F1F">
        <w:rPr>
          <w:rFonts w:ascii="Tw Cen MT" w:eastAsia="Tw Cen MT" w:hAnsi="Tw Cen MT" w:cs="Tw Cen MT"/>
          <w:b w:val="0"/>
          <w:bCs w:val="0"/>
          <w:sz w:val="18"/>
          <w:szCs w:val="18"/>
        </w:rPr>
        <w:t>HPC</w:t>
      </w:r>
      <w:proofErr w:type="spellEnd"/>
      <w:r w:rsidRPr="00033F1F">
        <w:rPr>
          <w:rFonts w:ascii="Tw Cen MT" w:eastAsia="Tw Cen MT" w:hAnsi="Tw Cen MT" w:cs="Tw Cen MT"/>
          <w:b w:val="0"/>
          <w:bCs w:val="0"/>
          <w:sz w:val="18"/>
          <w:szCs w:val="18"/>
        </w:rPr>
        <w:t xml:space="preserve">), which possess a multimodal pore size distribution of micro-, </w:t>
      </w:r>
      <w:proofErr w:type="spellStart"/>
      <w:r w:rsidRPr="00033F1F">
        <w:rPr>
          <w:rFonts w:ascii="Tw Cen MT" w:eastAsia="Tw Cen MT" w:hAnsi="Tw Cen MT" w:cs="Tw Cen MT"/>
          <w:b w:val="0"/>
          <w:bCs w:val="0"/>
          <w:sz w:val="18"/>
          <w:szCs w:val="18"/>
        </w:rPr>
        <w:t>meso</w:t>
      </w:r>
      <w:proofErr w:type="spellEnd"/>
      <w:r w:rsidRPr="00033F1F">
        <w:rPr>
          <w:rFonts w:ascii="Tw Cen MT" w:eastAsia="Tw Cen MT" w:hAnsi="Tw Cen MT" w:cs="Tw Cen MT"/>
          <w:b w:val="0"/>
          <w:bCs w:val="0"/>
          <w:sz w:val="18"/>
          <w:szCs w:val="18"/>
        </w:rPr>
        <w:t xml:space="preserve">-, and/or </w:t>
      </w:r>
      <w:proofErr w:type="spellStart"/>
      <w:r w:rsidRPr="00033F1F">
        <w:rPr>
          <w:rFonts w:ascii="Tw Cen MT" w:eastAsia="Tw Cen MT" w:hAnsi="Tw Cen MT" w:cs="Tw Cen MT"/>
          <w:b w:val="0"/>
          <w:bCs w:val="0"/>
          <w:sz w:val="18"/>
          <w:szCs w:val="18"/>
        </w:rPr>
        <w:t>macropores</w:t>
      </w:r>
      <w:proofErr w:type="spellEnd"/>
      <w:r w:rsidRPr="00033F1F">
        <w:rPr>
          <w:rFonts w:ascii="Tw Cen MT" w:eastAsia="Tw Cen MT" w:hAnsi="Tw Cen MT" w:cs="Tw Cen MT"/>
          <w:b w:val="0"/>
          <w:bCs w:val="0"/>
          <w:sz w:val="18"/>
          <w:szCs w:val="18"/>
        </w:rPr>
        <w:t xml:space="preserve">, have been used for enzyme immobilization. On the other hand, magnetic nanoparticles due to their high surface area, large surface-to-volume ratio and easy separation under external magnetic fields have been broadly utilized as carriers for enzyme immobilization [2]. The functionalization of magnetic nanoparticles with carbon-based nanomaterials has recently attracted great interest as the resulting hybrid nanomaterials combine the properties of both building blocks. In the present study, we investigate the use of hybrid nanomaterials of magnetic iron nanoparticles with GO or </w:t>
      </w:r>
      <w:proofErr w:type="spellStart"/>
      <w:r w:rsidRPr="00033F1F">
        <w:rPr>
          <w:rFonts w:ascii="Tw Cen MT" w:eastAsia="Tw Cen MT" w:hAnsi="Tw Cen MT" w:cs="Tw Cen MT"/>
          <w:b w:val="0"/>
          <w:bCs w:val="0"/>
          <w:sz w:val="18"/>
          <w:szCs w:val="18"/>
        </w:rPr>
        <w:t>HPC</w:t>
      </w:r>
      <w:proofErr w:type="spellEnd"/>
      <w:r w:rsidRPr="00033F1F">
        <w:rPr>
          <w:rFonts w:ascii="Tw Cen MT" w:eastAsia="Tw Cen MT" w:hAnsi="Tw Cen MT" w:cs="Tw Cen MT"/>
          <w:b w:val="0"/>
          <w:bCs w:val="0"/>
          <w:sz w:val="18"/>
          <w:szCs w:val="18"/>
        </w:rPr>
        <w:t xml:space="preserve"> as </w:t>
      </w:r>
      <w:proofErr w:type="spellStart"/>
      <w:r w:rsidRPr="00033F1F">
        <w:rPr>
          <w:rFonts w:ascii="Tw Cen MT" w:eastAsia="Tw Cen MT" w:hAnsi="Tw Cen MT" w:cs="Tw Cen MT"/>
          <w:b w:val="0"/>
          <w:bCs w:val="0"/>
          <w:sz w:val="18"/>
          <w:szCs w:val="18"/>
        </w:rPr>
        <w:t>nanosupports</w:t>
      </w:r>
      <w:proofErr w:type="spellEnd"/>
      <w:r w:rsidRPr="00033F1F">
        <w:rPr>
          <w:rFonts w:ascii="Tw Cen MT" w:eastAsia="Tw Cen MT" w:hAnsi="Tw Cen MT" w:cs="Tw Cen MT"/>
          <w:b w:val="0"/>
          <w:bCs w:val="0"/>
          <w:sz w:val="18"/>
          <w:szCs w:val="18"/>
        </w:rPr>
        <w:t xml:space="preserve"> for the immobilization of cellulolytic enzymes which could be applied to generate glucose feedstock using lignocellulosic biomass. The aim of this work focuses on the investigation of the effect of structural characteristics, of hybrid GO- and </w:t>
      </w:r>
      <w:proofErr w:type="spellStart"/>
      <w:r w:rsidRPr="00033F1F">
        <w:rPr>
          <w:rFonts w:ascii="Tw Cen MT" w:eastAsia="Tw Cen MT" w:hAnsi="Tw Cen MT" w:cs="Tw Cen MT"/>
          <w:b w:val="0"/>
          <w:bCs w:val="0"/>
          <w:sz w:val="18"/>
          <w:szCs w:val="18"/>
        </w:rPr>
        <w:t>HPC</w:t>
      </w:r>
      <w:proofErr w:type="spellEnd"/>
      <w:r w:rsidRPr="00033F1F">
        <w:rPr>
          <w:rFonts w:ascii="Tw Cen MT" w:eastAsia="Tw Cen MT" w:hAnsi="Tw Cen MT" w:cs="Tw Cen MT"/>
          <w:b w:val="0"/>
          <w:bCs w:val="0"/>
          <w:sz w:val="18"/>
          <w:szCs w:val="18"/>
        </w:rPr>
        <w:t xml:space="preserve">-magnetic nanoparticles on the catalytic behavior (activity, </w:t>
      </w:r>
      <w:proofErr w:type="spellStart"/>
      <w:r w:rsidRPr="00033F1F">
        <w:rPr>
          <w:rFonts w:ascii="Tw Cen MT" w:eastAsia="Tw Cen MT" w:hAnsi="Tw Cen MT" w:cs="Tw Cen MT"/>
          <w:b w:val="0"/>
          <w:bCs w:val="0"/>
          <w:sz w:val="18"/>
          <w:szCs w:val="18"/>
        </w:rPr>
        <w:t>thermostab</w:t>
      </w:r>
      <w:bookmarkStart w:id="0" w:name="_GoBack"/>
      <w:bookmarkEnd w:id="0"/>
      <w:r w:rsidRPr="00033F1F">
        <w:rPr>
          <w:rFonts w:ascii="Tw Cen MT" w:eastAsia="Tw Cen MT" w:hAnsi="Tw Cen MT" w:cs="Tw Cen MT"/>
          <w:b w:val="0"/>
          <w:bCs w:val="0"/>
          <w:sz w:val="18"/>
          <w:szCs w:val="18"/>
        </w:rPr>
        <w:t>ility</w:t>
      </w:r>
      <w:proofErr w:type="spellEnd"/>
      <w:r w:rsidRPr="00033F1F">
        <w:rPr>
          <w:rFonts w:ascii="Tw Cen MT" w:eastAsia="Tw Cen MT" w:hAnsi="Tw Cen MT" w:cs="Tw Cen MT"/>
          <w:b w:val="0"/>
          <w:bCs w:val="0"/>
          <w:sz w:val="18"/>
          <w:szCs w:val="18"/>
        </w:rPr>
        <w:t xml:space="preserve"> and operational stability) of cellulolytic enzymes.</w:t>
      </w:r>
    </w:p>
    <w:p w:rsidR="00DE512B" w:rsidRDefault="00DE512B" w:rsidP="00DE512B">
      <w:pPr>
        <w:pStyle w:val="3"/>
        <w:spacing w:before="74"/>
        <w:rPr>
          <w:rFonts w:ascii="Tw Cen MT" w:eastAsia="Tw Cen MT" w:hAnsi="Tw Cen MT" w:cs="Tw Cen MT"/>
          <w:b w:val="0"/>
          <w:bCs w:val="0"/>
          <w:sz w:val="18"/>
          <w:szCs w:val="18"/>
        </w:rPr>
      </w:pPr>
    </w:p>
    <w:p w:rsidR="00DE512B" w:rsidRPr="00DE512B" w:rsidRDefault="00DE512B" w:rsidP="00DE512B">
      <w:pPr>
        <w:pStyle w:val="3"/>
        <w:spacing w:before="74"/>
        <w:rPr>
          <w:rFonts w:ascii="Tw Cen MT" w:eastAsia="Tw Cen MT" w:hAnsi="Tw Cen MT" w:cs="Tw Cen MT"/>
          <w:b w:val="0"/>
          <w:bCs w:val="0"/>
          <w:sz w:val="18"/>
          <w:szCs w:val="18"/>
        </w:rPr>
      </w:pPr>
      <w:r w:rsidRPr="00DE512B">
        <w:rPr>
          <w:rFonts w:ascii="Tw Cen MT" w:eastAsia="Tw Cen MT" w:hAnsi="Tw Cen MT" w:cs="Tw Cen MT"/>
          <w:b w:val="0"/>
          <w:bCs w:val="0"/>
          <w:sz w:val="18"/>
          <w:szCs w:val="18"/>
        </w:rPr>
        <w:t>Acknowledgements: This project (MIS 5005434) has been co-financed by the Operational Program "Human Resources Development, Education and Lifelong Learning" and is co-financed by the European Union (European Social Fund) and Greek national funds.</w:t>
      </w:r>
    </w:p>
    <w:p w:rsidR="00DE512B" w:rsidRPr="00DE512B" w:rsidRDefault="00DE512B" w:rsidP="00DE512B">
      <w:pPr>
        <w:pStyle w:val="3"/>
        <w:spacing w:before="74"/>
        <w:rPr>
          <w:rFonts w:ascii="Tw Cen MT" w:eastAsia="Tw Cen MT" w:hAnsi="Tw Cen MT" w:cs="Tw Cen MT"/>
          <w:b w:val="0"/>
          <w:bCs w:val="0"/>
          <w:sz w:val="18"/>
          <w:szCs w:val="18"/>
        </w:rPr>
      </w:pPr>
    </w:p>
    <w:p w:rsidR="00DE512B" w:rsidRPr="00DE512B" w:rsidRDefault="00DE512B" w:rsidP="00DE512B">
      <w:pPr>
        <w:pStyle w:val="3"/>
        <w:spacing w:before="74"/>
        <w:rPr>
          <w:rFonts w:ascii="Tw Cen MT" w:eastAsia="Tw Cen MT" w:hAnsi="Tw Cen MT" w:cs="Tw Cen MT"/>
          <w:b w:val="0"/>
          <w:bCs w:val="0"/>
          <w:sz w:val="18"/>
          <w:szCs w:val="18"/>
        </w:rPr>
      </w:pPr>
      <w:r w:rsidRPr="00DE512B">
        <w:rPr>
          <w:rFonts w:ascii="Tw Cen MT" w:eastAsia="Tw Cen MT" w:hAnsi="Tw Cen MT" w:cs="Tw Cen MT"/>
          <w:b w:val="0"/>
          <w:bCs w:val="0"/>
          <w:sz w:val="18"/>
          <w:szCs w:val="18"/>
        </w:rPr>
        <w:t xml:space="preserve">[1] I V. Pavlidis, M. Patila, </w:t>
      </w:r>
      <w:proofErr w:type="spellStart"/>
      <w:r w:rsidRPr="00DE512B">
        <w:rPr>
          <w:rFonts w:ascii="Tw Cen MT" w:eastAsia="Tw Cen MT" w:hAnsi="Tw Cen MT" w:cs="Tw Cen MT"/>
          <w:b w:val="0"/>
          <w:bCs w:val="0"/>
          <w:sz w:val="18"/>
          <w:szCs w:val="18"/>
        </w:rPr>
        <w:t>U.</w:t>
      </w:r>
      <w:r w:rsidRPr="00DE512B">
        <w:rPr>
          <w:rFonts w:ascii="Calibri" w:eastAsia="Tw Cen MT" w:hAnsi="Calibri" w:cs="Calibri"/>
          <w:b w:val="0"/>
          <w:bCs w:val="0"/>
          <w:sz w:val="18"/>
          <w:szCs w:val="18"/>
        </w:rPr>
        <w:t>Τ</w:t>
      </w:r>
      <w:proofErr w:type="spellEnd"/>
      <w:r w:rsidRPr="00DE512B">
        <w:rPr>
          <w:rFonts w:ascii="Tw Cen MT" w:eastAsia="Tw Cen MT" w:hAnsi="Tw Cen MT" w:cs="Tw Cen MT"/>
          <w:b w:val="0"/>
          <w:bCs w:val="0"/>
          <w:sz w:val="18"/>
          <w:szCs w:val="18"/>
        </w:rPr>
        <w:t>. Bornscheuer, D. Gournis, H. Stamatis Trends in Biotechnology 2014, 32 (6), 312-320.</w:t>
      </w:r>
    </w:p>
    <w:p w:rsidR="00033F1F" w:rsidRDefault="00DE512B" w:rsidP="00DE512B">
      <w:pPr>
        <w:pStyle w:val="3"/>
        <w:spacing w:before="74"/>
        <w:rPr>
          <w:rFonts w:ascii="Tw Cen MT" w:eastAsia="Tw Cen MT" w:hAnsi="Tw Cen MT" w:cs="Tw Cen MT"/>
          <w:b w:val="0"/>
          <w:bCs w:val="0"/>
          <w:sz w:val="18"/>
          <w:szCs w:val="18"/>
        </w:rPr>
      </w:pPr>
      <w:r w:rsidRPr="00DE512B">
        <w:rPr>
          <w:rFonts w:ascii="Tw Cen MT" w:eastAsia="Tw Cen MT" w:hAnsi="Tw Cen MT" w:cs="Tw Cen MT"/>
          <w:b w:val="0"/>
          <w:bCs w:val="0"/>
          <w:sz w:val="18"/>
          <w:szCs w:val="18"/>
        </w:rPr>
        <w:t xml:space="preserve">[2] G. Orfanakis, M. Patila, </w:t>
      </w:r>
      <w:proofErr w:type="spellStart"/>
      <w:r w:rsidRPr="00DE512B">
        <w:rPr>
          <w:rFonts w:ascii="Tw Cen MT" w:eastAsia="Tw Cen MT" w:hAnsi="Tw Cen MT" w:cs="Tw Cen MT"/>
          <w:b w:val="0"/>
          <w:bCs w:val="0"/>
          <w:sz w:val="18"/>
          <w:szCs w:val="18"/>
        </w:rPr>
        <w:t>A.V</w:t>
      </w:r>
      <w:proofErr w:type="spellEnd"/>
      <w:r w:rsidRPr="00DE512B">
        <w:rPr>
          <w:rFonts w:ascii="Tw Cen MT" w:eastAsia="Tw Cen MT" w:hAnsi="Tw Cen MT" w:cs="Tw Cen MT"/>
          <w:b w:val="0"/>
          <w:bCs w:val="0"/>
          <w:sz w:val="18"/>
          <w:szCs w:val="18"/>
        </w:rPr>
        <w:t xml:space="preserve">. </w:t>
      </w:r>
      <w:proofErr w:type="spellStart"/>
      <w:r w:rsidRPr="00DE512B">
        <w:rPr>
          <w:rFonts w:ascii="Tw Cen MT" w:eastAsia="Tw Cen MT" w:hAnsi="Tw Cen MT" w:cs="Tw Cen MT"/>
          <w:b w:val="0"/>
          <w:bCs w:val="0"/>
          <w:sz w:val="18"/>
          <w:szCs w:val="18"/>
        </w:rPr>
        <w:t>Catzikonstantinou</w:t>
      </w:r>
      <w:proofErr w:type="spellEnd"/>
      <w:r w:rsidRPr="00DE512B">
        <w:rPr>
          <w:rFonts w:ascii="Tw Cen MT" w:eastAsia="Tw Cen MT" w:hAnsi="Tw Cen MT" w:cs="Tw Cen MT"/>
          <w:b w:val="0"/>
          <w:bCs w:val="0"/>
          <w:sz w:val="18"/>
          <w:szCs w:val="18"/>
        </w:rPr>
        <w:t>, K-M. Lyra, A. Kouloumpis, P. Katapodis, K. Spyrou, A. Paipetis, P. Rudolf, D. Gournis, H. Stamatis  Frontiers in Materials, 2018, 5. 1-11.</w:t>
      </w:r>
    </w:p>
    <w:sectPr w:rsidR="00033F1F" w:rsidSect="00033F1F">
      <w:headerReference w:type="default" r:id="rId7"/>
      <w:footerReference w:type="default" r:id="rId8"/>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6F5C" w:rsidRDefault="00B06F5C">
      <w:r>
        <w:separator/>
      </w:r>
    </w:p>
  </w:endnote>
  <w:endnote w:type="continuationSeparator" w:id="0">
    <w:p w:rsidR="00B06F5C" w:rsidRDefault="00B06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0002A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A1"/>
    <w:family w:val="swiss"/>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14:anchorId="717111E0" wp14:editId="19C7BF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7111E0"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F06A42B" wp14:editId="5CD4BF9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06A42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8C7DA80" wp14:editId="561652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C7DA80"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6F5C" w:rsidRDefault="00B06F5C">
      <w:r>
        <w:separator/>
      </w:r>
    </w:p>
  </w:footnote>
  <w:footnote w:type="continuationSeparator" w:id="0">
    <w:p w:rsidR="00B06F5C" w:rsidRDefault="00B06F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rPr>
      <mc:AlternateContent>
        <mc:Choice Requires="wps">
          <w:drawing>
            <wp:anchor distT="0" distB="0" distL="114300" distR="114300" simplePos="0" relativeHeight="503311880" behindDoc="1" locked="0" layoutInCell="1" allowOverlap="1" wp14:anchorId="2A302EE3" wp14:editId="158382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302EE3"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713F8423" wp14:editId="2CBD339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3F842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33F1F"/>
    <w:rsid w:val="000E2911"/>
    <w:rsid w:val="001263DF"/>
    <w:rsid w:val="001E752F"/>
    <w:rsid w:val="0023086C"/>
    <w:rsid w:val="00292ED9"/>
    <w:rsid w:val="00404E5B"/>
    <w:rsid w:val="00414F7B"/>
    <w:rsid w:val="004355DC"/>
    <w:rsid w:val="0046059E"/>
    <w:rsid w:val="004749B4"/>
    <w:rsid w:val="00494130"/>
    <w:rsid w:val="004F3523"/>
    <w:rsid w:val="005973B9"/>
    <w:rsid w:val="005B3A56"/>
    <w:rsid w:val="006060CE"/>
    <w:rsid w:val="0063497F"/>
    <w:rsid w:val="007455E4"/>
    <w:rsid w:val="00770E30"/>
    <w:rsid w:val="007D3A55"/>
    <w:rsid w:val="00873DF0"/>
    <w:rsid w:val="008756E6"/>
    <w:rsid w:val="00921F3E"/>
    <w:rsid w:val="00983618"/>
    <w:rsid w:val="009B2D44"/>
    <w:rsid w:val="00A07E82"/>
    <w:rsid w:val="00A527E3"/>
    <w:rsid w:val="00A9710C"/>
    <w:rsid w:val="00AE3E37"/>
    <w:rsid w:val="00B06F5C"/>
    <w:rsid w:val="00B21A57"/>
    <w:rsid w:val="00C33602"/>
    <w:rsid w:val="00CD6F55"/>
    <w:rsid w:val="00D827BE"/>
    <w:rsid w:val="00DE3104"/>
    <w:rsid w:val="00DE512B"/>
    <w:rsid w:val="00E92544"/>
    <w:rsid w:val="00F07D91"/>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1FA870C-A53C-4456-9502-190C22113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Κεφαλίδα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Υποσέλιδο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Κείμενο πλαισίου Char"/>
    <w:basedOn w:val="a0"/>
    <w:link w:val="a7"/>
    <w:uiPriority w:val="99"/>
    <w:semiHidden/>
    <w:rsid w:val="004F3523"/>
    <w:rPr>
      <w:rFonts w:ascii="Tahoma" w:eastAsia="Tw Cen MT" w:hAnsi="Tahoma" w:cs="Tahoma"/>
      <w:sz w:val="16"/>
      <w:szCs w:val="16"/>
    </w:rPr>
  </w:style>
  <w:style w:type="character" w:styleId="-">
    <w:name w:val="Hyperlink"/>
    <w:basedOn w:val="a0"/>
    <w:uiPriority w:val="99"/>
    <w:unhideWhenUsed/>
    <w:rsid w:val="008756E6"/>
    <w:rPr>
      <w:color w:val="0000FF" w:themeColor="hyperlink"/>
      <w:u w:val="single"/>
    </w:rPr>
  </w:style>
  <w:style w:type="character" w:customStyle="1" w:styleId="Char">
    <w:name w:val="Σώμα κειμένου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370</Words>
  <Characters>2112</Characters>
  <Application>Microsoft Office Word</Application>
  <DocSecurity>0</DocSecurity>
  <Lines>17</Lines>
  <Paragraphs>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Haris Stamatis</cp:lastModifiedBy>
  <cp:revision>2</cp:revision>
  <dcterms:created xsi:type="dcterms:W3CDTF">2018-05-25T16:34:00Z</dcterms:created>
  <dcterms:modified xsi:type="dcterms:W3CDTF">2018-05-25T16:34:00Z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