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37BA3" w:rsidP="00494130">
      <w:pPr>
        <w:pStyle w:val="1"/>
        <w:spacing w:before="170"/>
        <w:ind w:left="0"/>
      </w:pPr>
      <w:r>
        <w:rPr>
          <w:color w:val="337AB7"/>
        </w:rPr>
        <w:t>Ag</w:t>
      </w:r>
      <w:r w:rsidRPr="00E37BA3">
        <w:rPr>
          <w:color w:val="337AB7"/>
          <w:vertAlign w:val="superscript"/>
        </w:rPr>
        <w:t>+</w:t>
      </w:r>
      <w:r>
        <w:rPr>
          <w:color w:val="337AB7"/>
        </w:rPr>
        <w:t xml:space="preserve"> ion emission from a sharp tip of Ag</w:t>
      </w:r>
      <w:r w:rsidRPr="00E37BA3">
        <w:rPr>
          <w:color w:val="337AB7"/>
          <w:vertAlign w:val="superscript"/>
        </w:rPr>
        <w:t>+</w:t>
      </w:r>
      <w:r>
        <w:rPr>
          <w:color w:val="337AB7"/>
        </w:rPr>
        <w:t xml:space="preserve"> ion conducting glass and </w:t>
      </w:r>
      <w:proofErr w:type="spellStart"/>
      <w:r>
        <w:rPr>
          <w:color w:val="337AB7"/>
        </w:rPr>
        <w:t>Schottky</w:t>
      </w:r>
      <w:proofErr w:type="spellEnd"/>
      <w:r>
        <w:rPr>
          <w:color w:val="337AB7"/>
        </w:rPr>
        <w:t xml:space="preserve">-model analysis </w:t>
      </w:r>
    </w:p>
    <w:p w:rsidR="005973B9" w:rsidRDefault="00E37BA3" w:rsidP="005973B9">
      <w:pPr>
        <w:pStyle w:val="a3"/>
        <w:spacing w:before="73" w:line="198" w:lineRule="exact"/>
        <w:ind w:left="100" w:right="5987"/>
        <w:rPr>
          <w:rFonts w:ascii="Arial"/>
        </w:rPr>
      </w:pPr>
      <w:r>
        <w:rPr>
          <w:rFonts w:ascii="Arial"/>
        </w:rPr>
        <w:t xml:space="preserve">Yusuke </w:t>
      </w:r>
      <w:proofErr w:type="spellStart"/>
      <w:r>
        <w:rPr>
          <w:rFonts w:ascii="Arial"/>
        </w:rPr>
        <w:t>Daiko</w:t>
      </w:r>
      <w:proofErr w:type="spellEnd"/>
      <w:r>
        <w:rPr>
          <w:rFonts w:ascii="Arial"/>
        </w:rPr>
        <w:t xml:space="preserve">, </w:t>
      </w:r>
      <w:proofErr w:type="spellStart"/>
      <w:r>
        <w:rPr>
          <w:rFonts w:ascii="Arial"/>
        </w:rPr>
        <w:t>Sawao</w:t>
      </w:r>
      <w:proofErr w:type="spellEnd"/>
      <w:r>
        <w:rPr>
          <w:rFonts w:ascii="Arial"/>
        </w:rPr>
        <w:t xml:space="preserve"> Honda, Yuji Iwamoto </w:t>
      </w:r>
    </w:p>
    <w:p w:rsidR="00AE3E37" w:rsidRPr="00E37BA3" w:rsidRDefault="00E37BA3" w:rsidP="00E37BA3">
      <w:pPr>
        <w:pStyle w:val="a3"/>
        <w:ind w:firstLineChars="50" w:firstLine="90"/>
        <w:rPr>
          <w:rFonts w:ascii="Arial"/>
        </w:rPr>
      </w:pPr>
      <w:r w:rsidRPr="00E37BA3">
        <w:rPr>
          <w:rFonts w:ascii="Arial"/>
        </w:rPr>
        <w:t xml:space="preserve">Life Science and Applied Chemistry, Nagoya Institute of Technology, </w:t>
      </w:r>
      <w:proofErr w:type="spellStart"/>
      <w:r w:rsidRPr="00E37BA3">
        <w:rPr>
          <w:rFonts w:ascii="Arial"/>
        </w:rPr>
        <w:t>Gokiso-cho</w:t>
      </w:r>
      <w:proofErr w:type="spellEnd"/>
      <w:r w:rsidRPr="00E37BA3">
        <w:rPr>
          <w:rFonts w:ascii="Arial"/>
        </w:rPr>
        <w:t>, Showa-</w:t>
      </w:r>
      <w:proofErr w:type="spellStart"/>
      <w:r w:rsidRPr="00E37BA3">
        <w:rPr>
          <w:rFonts w:ascii="Arial"/>
        </w:rPr>
        <w:t>ku</w:t>
      </w:r>
      <w:proofErr w:type="spellEnd"/>
      <w:r w:rsidRPr="00E37BA3">
        <w:rPr>
          <w:rFonts w:ascii="Arial"/>
        </w:rPr>
        <w:t>, Nagoya, 466-8555 Japan</w:t>
      </w: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011ABD" w:rsidRPr="00011ABD" w:rsidRDefault="00011ABD" w:rsidP="00011ABD">
      <w:pPr>
        <w:pStyle w:val="a3"/>
        <w:spacing w:before="90" w:line="280" w:lineRule="auto"/>
        <w:ind w:left="100"/>
      </w:pPr>
      <w:r w:rsidRPr="00011ABD">
        <w:t>Ion implantation is one effective method for surface modification of materials, and has been applied for various field including semiconductor i</w:t>
      </w:r>
      <w:r>
        <w:t>ndustry and bio-technology</w:t>
      </w:r>
      <w:r w:rsidRPr="00011ABD">
        <w:t>. For example, proton (H</w:t>
      </w:r>
      <w:r w:rsidRPr="00011ABD">
        <w:rPr>
          <w:vertAlign w:val="superscript"/>
        </w:rPr>
        <w:t>+</w:t>
      </w:r>
      <w:r w:rsidRPr="00011ABD">
        <w:t>) implantation, so-called proton therapy, has recently used most often in the treatment of cancer, in which accelerated protons are irradia</w:t>
      </w:r>
      <w:r>
        <w:t>ted directly to cancer cells</w:t>
      </w:r>
      <w:r w:rsidRPr="00011ABD">
        <w:t>. In general, discharge plasma (gas) or liquid (e.g. liquid gallium (Ga) focused ion beam (FIB)) has been utilized for an ion source. However, in these cases, side reactions (generation of radicals or various ions with different mass such as H</w:t>
      </w:r>
      <w:r w:rsidRPr="00011ABD">
        <w:rPr>
          <w:vertAlign w:val="subscript"/>
        </w:rPr>
        <w:t>2</w:t>
      </w:r>
      <w:r w:rsidRPr="00011ABD">
        <w:rPr>
          <w:vertAlign w:val="superscript"/>
        </w:rPr>
        <w:t>+</w:t>
      </w:r>
      <w:r w:rsidRPr="00011ABD">
        <w:t xml:space="preserve"> and H</w:t>
      </w:r>
      <w:r w:rsidRPr="00011ABD">
        <w:rPr>
          <w:vertAlign w:val="subscript"/>
        </w:rPr>
        <w:t>3</w:t>
      </w:r>
      <w:r w:rsidRPr="00011ABD">
        <w:rPr>
          <w:vertAlign w:val="superscript"/>
        </w:rPr>
        <w:t>+</w:t>
      </w:r>
      <w:r w:rsidRPr="00011ABD">
        <w:t xml:space="preserve"> etc.) are unavoidable. Also, ion (particle) accelerators are huge and expensive. </w:t>
      </w:r>
    </w:p>
    <w:p w:rsidR="00011ABD" w:rsidRPr="00011ABD" w:rsidRDefault="00011ABD" w:rsidP="00011ABD">
      <w:pPr>
        <w:pStyle w:val="a3"/>
        <w:spacing w:before="90" w:line="280" w:lineRule="auto"/>
        <w:ind w:left="100"/>
      </w:pPr>
      <w:r w:rsidRPr="00011ABD">
        <w:t>On the other hand, ion emission from solid electrolytes such as YSZ</w:t>
      </w:r>
      <w:r>
        <w:t xml:space="preserve"> has also been considered</w:t>
      </w:r>
      <w:r w:rsidRPr="00011ABD">
        <w:t xml:space="preserve">. </w:t>
      </w:r>
      <w:proofErr w:type="spellStart"/>
      <w:r w:rsidRPr="00011ABD">
        <w:t>Hosono</w:t>
      </w:r>
      <w:proofErr w:type="spellEnd"/>
      <w:r w:rsidRPr="00011ABD">
        <w:t xml:space="preserve"> </w:t>
      </w:r>
      <w:r w:rsidRPr="00011ABD">
        <w:rPr>
          <w:i/>
        </w:rPr>
        <w:t>et al.</w:t>
      </w:r>
      <w:r w:rsidRPr="00011ABD">
        <w:t xml:space="preserve"> showed that O</w:t>
      </w:r>
      <w:r w:rsidRPr="00011ABD">
        <w:rPr>
          <w:vertAlign w:val="superscript"/>
        </w:rPr>
        <w:t>-</w:t>
      </w:r>
      <w:r w:rsidRPr="00011ABD">
        <w:t xml:space="preserve"> ions exist inside cages of 12CaO·7Al</w:t>
      </w:r>
      <w:r w:rsidRPr="00011ABD">
        <w:rPr>
          <w:vertAlign w:val="subscript"/>
        </w:rPr>
        <w:t>2</w:t>
      </w:r>
      <w:r w:rsidRPr="00011ABD">
        <w:t>O</w:t>
      </w:r>
      <w:r w:rsidRPr="00011ABD">
        <w:rPr>
          <w:vertAlign w:val="subscript"/>
        </w:rPr>
        <w:t>3</w:t>
      </w:r>
      <w:r w:rsidRPr="00011ABD">
        <w:t xml:space="preserve"> (C12A7) crystal, and they successfully observed O</w:t>
      </w:r>
      <w:r w:rsidRPr="00011ABD">
        <w:rPr>
          <w:vertAlign w:val="superscript"/>
        </w:rPr>
        <w:t>-</w:t>
      </w:r>
      <w:r w:rsidRPr="00011ABD">
        <w:t xml:space="preserve"> ion emission from the C12A7 </w:t>
      </w:r>
      <w:r>
        <w:t>by applying a high voltage</w:t>
      </w:r>
      <w:r w:rsidRPr="00011ABD">
        <w:t>. In the case of these ion emissions from solid electrolyte, one crucial aspect is its high ion conductivity, and ion emission current increases with increasing ion conductivity of electrolyte [8]. Compared with gas and liquid ion sources, ion emission mechanism of such solid-emitter is simple and almost ~100% of emitted ions are O</w:t>
      </w:r>
      <w:r w:rsidRPr="00011ABD">
        <w:rPr>
          <w:vertAlign w:val="superscript"/>
        </w:rPr>
        <w:t>-</w:t>
      </w:r>
      <w:r w:rsidRPr="00011ABD">
        <w:t xml:space="preserve"> ion in the case for C12A7. </w:t>
      </w:r>
    </w:p>
    <w:p w:rsidR="00AE3E37" w:rsidRDefault="00011ABD" w:rsidP="00011ABD">
      <w:pPr>
        <w:pStyle w:val="a3"/>
        <w:spacing w:before="90" w:line="280" w:lineRule="auto"/>
        <w:ind w:left="100"/>
        <w:jc w:val="both"/>
      </w:pPr>
      <w:r w:rsidRPr="00011ABD">
        <w:t>We have studied high ion conducting glasses and those applications for ion emission gun. One big advantage of glass is its good formability, and we anticipate such ion conducting glasses can be applied for an emitter of ionic gun since the strength of the electric field is concentrated around the tip of the sharp-edged glass emitter. Here we show preparation and emission properties of Ag</w:t>
      </w:r>
      <w:r w:rsidRPr="00011ABD">
        <w:rPr>
          <w:vertAlign w:val="superscript"/>
        </w:rPr>
        <w:t>+</w:t>
      </w:r>
      <w:r w:rsidRPr="00011ABD">
        <w:t xml:space="preserve"> ions</w:t>
      </w:r>
      <w:r>
        <w:t xml:space="preserve"> from a tip of Ag</w:t>
      </w:r>
      <w:r w:rsidRPr="00011ABD">
        <w:rPr>
          <w:vertAlign w:val="superscript"/>
        </w:rPr>
        <w:t>+</w:t>
      </w:r>
      <w:r>
        <w:t xml:space="preserve"> ion conducting glass fiber</w:t>
      </w:r>
      <w:r w:rsidRPr="00011ABD">
        <w:rPr>
          <w:color w:val="000000" w:themeColor="text1"/>
        </w:rPr>
        <w:t xml:space="preserve">. </w:t>
      </w:r>
      <w:r w:rsidRPr="00011ABD">
        <w:rPr>
          <w:color w:val="000000" w:themeColor="text1"/>
        </w:rPr>
        <w:t xml:space="preserve">A good linear correlation </w:t>
      </w:r>
      <w:r>
        <w:rPr>
          <w:color w:val="000000" w:themeColor="text1"/>
        </w:rPr>
        <w:t>wa</w:t>
      </w:r>
      <w:r w:rsidRPr="00011ABD">
        <w:rPr>
          <w:color w:val="000000" w:themeColor="text1"/>
        </w:rPr>
        <w:t>s obtained between log(current) and square root of the voltage, suggesting the emission of Ag</w:t>
      </w:r>
      <w:r w:rsidRPr="00011ABD">
        <w:rPr>
          <w:color w:val="000000" w:themeColor="text1"/>
          <w:vertAlign w:val="superscript"/>
        </w:rPr>
        <w:t>+</w:t>
      </w:r>
      <w:r w:rsidRPr="00011ABD">
        <w:rPr>
          <w:color w:val="000000" w:themeColor="text1"/>
        </w:rPr>
        <w:t xml:space="preserve"> ion from the tip of glass fiber is expressed by </w:t>
      </w:r>
      <w:proofErr w:type="spellStart"/>
      <w:r w:rsidRPr="00011ABD">
        <w:rPr>
          <w:color w:val="000000" w:themeColor="text1"/>
        </w:rPr>
        <w:t>Schottky</w:t>
      </w:r>
      <w:proofErr w:type="spellEnd"/>
      <w:r w:rsidRPr="00011ABD">
        <w:rPr>
          <w:color w:val="000000" w:themeColor="text1"/>
        </w:rPr>
        <w:t xml:space="preserve"> model.</w:t>
      </w:r>
    </w:p>
    <w:p w:rsidR="007D3A55" w:rsidRDefault="007D3A55" w:rsidP="007D3A55">
      <w:pPr>
        <w:pStyle w:val="3"/>
        <w:spacing w:before="74"/>
        <w:ind w:left="0"/>
        <w:rPr>
          <w:color w:val="BF5A14"/>
        </w:rPr>
      </w:pPr>
    </w:p>
    <w:p w:rsidR="007D3A55" w:rsidRPr="007D3A55" w:rsidRDefault="00011ABD" w:rsidP="007D3A55">
      <w:pPr>
        <w:pStyle w:val="3"/>
        <w:spacing w:before="74"/>
        <w:ind w:left="0"/>
        <w:rPr>
          <w:color w:val="BF5A14"/>
        </w:rPr>
      </w:pPr>
      <w:r>
        <w:rPr>
          <w:noProof/>
          <w:color w:val="BF5A14"/>
        </w:rPr>
        <w:drawing>
          <wp:inline distT="0" distB="0" distL="0" distR="0">
            <wp:extent cx="6788150" cy="1379220"/>
            <wp:effectExtent l="0" t="0" r="0" b="508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1.png"/>
                    <pic:cNvPicPr/>
                  </pic:nvPicPr>
                  <pic:blipFill>
                    <a:blip r:embed="rId9">
                      <a:extLst>
                        <a:ext uri="{28A0092B-C50C-407E-A947-70E740481C1C}">
                          <a14:useLocalDpi xmlns:a14="http://schemas.microsoft.com/office/drawing/2010/main" val="0"/>
                        </a:ext>
                      </a:extLst>
                    </a:blip>
                    <a:stretch>
                      <a:fillRect/>
                    </a:stretch>
                  </pic:blipFill>
                  <pic:spPr>
                    <a:xfrm>
                      <a:off x="0" y="0"/>
                      <a:ext cx="6788150" cy="1379220"/>
                    </a:xfrm>
                    <a:prstGeom prst="rect">
                      <a:avLst/>
                    </a:prstGeom>
                  </pic:spPr>
                </pic:pic>
              </a:graphicData>
            </a:graphic>
          </wp:inline>
        </w:drawing>
      </w:r>
    </w:p>
    <w:p w:rsidR="00AE3E37" w:rsidRDefault="002F78CD" w:rsidP="007D3A55">
      <w:pPr>
        <w:pStyle w:val="a3"/>
        <w:spacing w:before="2"/>
        <w:jc w:val="center"/>
        <w:rPr>
          <w:rFonts w:ascii="Arial"/>
          <w:b/>
          <w:sz w:val="16"/>
        </w:rPr>
      </w:pPr>
      <w:r w:rsidRPr="00E73294">
        <w:t xml:space="preserve">Schematic diagram </w:t>
      </w:r>
      <w:r>
        <w:t>of fiber preparation</w:t>
      </w:r>
      <w:r>
        <w:t>, SEM image of the fiber tip, and Ag</w:t>
      </w:r>
      <w:r w:rsidRPr="002F78CD">
        <w:rPr>
          <w:vertAlign w:val="superscript"/>
        </w:rPr>
        <w:t>+</w:t>
      </w:r>
      <w:r>
        <w:t xml:space="preserve"> ion emission current as a function of voltage.</w:t>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21E5A" w:rsidRDefault="00521E5A" w:rsidP="005973B9">
      <w:pPr>
        <w:pStyle w:val="a5"/>
        <w:numPr>
          <w:ilvl w:val="0"/>
          <w:numId w:val="3"/>
        </w:numPr>
        <w:tabs>
          <w:tab w:val="left" w:pos="384"/>
        </w:tabs>
        <w:spacing w:line="216" w:lineRule="exact"/>
        <w:ind w:right="137" w:hanging="283"/>
        <w:rPr>
          <w:sz w:val="18"/>
        </w:rPr>
      </w:pPr>
      <w:r>
        <w:rPr>
          <w:sz w:val="18"/>
        </w:rPr>
        <w:t xml:space="preserve">Y. </w:t>
      </w:r>
      <w:proofErr w:type="spellStart"/>
      <w:r w:rsidRPr="00521E5A">
        <w:rPr>
          <w:sz w:val="18"/>
        </w:rPr>
        <w:t>Daiko</w:t>
      </w:r>
      <w:proofErr w:type="spellEnd"/>
      <w:r w:rsidRPr="00521E5A">
        <w:rPr>
          <w:sz w:val="18"/>
        </w:rPr>
        <w:t xml:space="preserve">, S. </w:t>
      </w:r>
      <w:proofErr w:type="spellStart"/>
      <w:r w:rsidRPr="00521E5A">
        <w:rPr>
          <w:sz w:val="18"/>
        </w:rPr>
        <w:t>Mizutani</w:t>
      </w:r>
      <w:proofErr w:type="spellEnd"/>
      <w:r w:rsidRPr="00521E5A">
        <w:rPr>
          <w:sz w:val="18"/>
        </w:rPr>
        <w:t xml:space="preserve">, K. </w:t>
      </w:r>
      <w:proofErr w:type="spellStart"/>
      <w:r w:rsidRPr="00521E5A">
        <w:rPr>
          <w:sz w:val="18"/>
        </w:rPr>
        <w:t>Segawa</w:t>
      </w:r>
      <w:proofErr w:type="spellEnd"/>
      <w:r w:rsidRPr="00521E5A">
        <w:rPr>
          <w:sz w:val="18"/>
        </w:rPr>
        <w:t>, S. Honda, Y. Iwamoto, Proc. IEEE 16</w:t>
      </w:r>
      <w:r w:rsidRPr="00521E5A">
        <w:rPr>
          <w:sz w:val="18"/>
          <w:vertAlign w:val="superscript"/>
        </w:rPr>
        <w:t>th</w:t>
      </w:r>
      <w:r w:rsidRPr="00521E5A">
        <w:rPr>
          <w:sz w:val="18"/>
        </w:rPr>
        <w:t xml:space="preserve"> Int. Conf. </w:t>
      </w:r>
      <w:proofErr w:type="spellStart"/>
      <w:r w:rsidRPr="00521E5A">
        <w:rPr>
          <w:sz w:val="18"/>
        </w:rPr>
        <w:t>Nanotechnol</w:t>
      </w:r>
      <w:proofErr w:type="spellEnd"/>
      <w:r w:rsidRPr="00521E5A">
        <w:rPr>
          <w:sz w:val="18"/>
        </w:rPr>
        <w:t xml:space="preserve">. 351 (2016) </w:t>
      </w:r>
    </w:p>
    <w:p w:rsidR="005973B9" w:rsidRDefault="00521E5A" w:rsidP="00521E5A">
      <w:pPr>
        <w:pStyle w:val="a5"/>
        <w:tabs>
          <w:tab w:val="left" w:pos="384"/>
        </w:tabs>
        <w:spacing w:line="216" w:lineRule="exact"/>
        <w:ind w:right="137" w:firstLine="0"/>
        <w:rPr>
          <w:sz w:val="18"/>
        </w:rPr>
      </w:pPr>
      <w:r w:rsidRPr="00521E5A">
        <w:rPr>
          <w:sz w:val="18"/>
        </w:rPr>
        <w:t>(</w:t>
      </w:r>
      <w:r w:rsidRPr="00521E5A">
        <w:rPr>
          <w:rFonts w:eastAsia="Times New Roman"/>
          <w:bCs/>
          <w:sz w:val="18"/>
        </w:rPr>
        <w:t xml:space="preserve">DOI: </w:t>
      </w:r>
      <w:r w:rsidRPr="00521E5A">
        <w:rPr>
          <w:rFonts w:eastAsia="Times New Roman"/>
          <w:sz w:val="18"/>
        </w:rPr>
        <w:t>10.1109/NANO.2016.7751521)</w:t>
      </w:r>
      <w:r w:rsidRPr="00521E5A">
        <w:rPr>
          <w:rFonts w:eastAsia="Times New Roman"/>
          <w:sz w:val="18"/>
        </w:rPr>
        <w:t xml:space="preserve">    </w:t>
      </w:r>
    </w:p>
    <w:p w:rsidR="00521E5A" w:rsidRPr="00521E5A" w:rsidRDefault="00521E5A" w:rsidP="00521E5A">
      <w:pPr>
        <w:pStyle w:val="a5"/>
        <w:numPr>
          <w:ilvl w:val="0"/>
          <w:numId w:val="3"/>
        </w:numPr>
        <w:tabs>
          <w:tab w:val="left" w:pos="384"/>
        </w:tabs>
        <w:spacing w:line="216" w:lineRule="exact"/>
        <w:ind w:right="138" w:hanging="283"/>
        <w:rPr>
          <w:sz w:val="12"/>
        </w:rPr>
      </w:pPr>
      <w:r w:rsidRPr="00521E5A">
        <w:rPr>
          <w:rFonts w:eastAsia="Times New Roman"/>
          <w:sz w:val="18"/>
        </w:rPr>
        <w:t xml:space="preserve">Y. </w:t>
      </w:r>
      <w:proofErr w:type="spellStart"/>
      <w:r w:rsidRPr="00521E5A">
        <w:rPr>
          <w:rFonts w:eastAsia="Times New Roman"/>
          <w:sz w:val="18"/>
        </w:rPr>
        <w:t>Daiko</w:t>
      </w:r>
      <w:proofErr w:type="spellEnd"/>
      <w:r w:rsidRPr="00521E5A">
        <w:rPr>
          <w:rFonts w:eastAsia="Times New Roman"/>
          <w:sz w:val="18"/>
        </w:rPr>
        <w:t xml:space="preserve">, S. </w:t>
      </w:r>
      <w:proofErr w:type="spellStart"/>
      <w:r w:rsidRPr="00521E5A">
        <w:rPr>
          <w:rFonts w:eastAsia="Times New Roman"/>
          <w:sz w:val="18"/>
        </w:rPr>
        <w:t>Mizutani</w:t>
      </w:r>
      <w:proofErr w:type="spellEnd"/>
      <w:r w:rsidRPr="00521E5A">
        <w:rPr>
          <w:rFonts w:eastAsia="Times New Roman"/>
          <w:sz w:val="18"/>
        </w:rPr>
        <w:t xml:space="preserve">, K. Machida, H. </w:t>
      </w:r>
      <w:proofErr w:type="spellStart"/>
      <w:r w:rsidRPr="00521E5A">
        <w:rPr>
          <w:rFonts w:eastAsia="Times New Roman"/>
          <w:sz w:val="18"/>
        </w:rPr>
        <w:t>Imataka</w:t>
      </w:r>
      <w:proofErr w:type="spellEnd"/>
      <w:r w:rsidRPr="00521E5A">
        <w:rPr>
          <w:rFonts w:eastAsia="Times New Roman"/>
          <w:sz w:val="18"/>
        </w:rPr>
        <w:t>, S. Honda, Y. Iwamoto, J. Sol-Gel. Sci. Technol.</w:t>
      </w:r>
      <w:r w:rsidRPr="00521E5A">
        <w:rPr>
          <w:rFonts w:eastAsia="Times New Roman"/>
          <w:i/>
          <w:sz w:val="18"/>
        </w:rPr>
        <w:t xml:space="preserve"> </w:t>
      </w:r>
      <w:r w:rsidRPr="00521E5A">
        <w:rPr>
          <w:rFonts w:eastAsia="Times New Roman"/>
          <w:sz w:val="18"/>
        </w:rPr>
        <w:t>83</w:t>
      </w:r>
      <w:r w:rsidRPr="00521E5A">
        <w:rPr>
          <w:rFonts w:eastAsia="Times New Roman"/>
          <w:i/>
          <w:sz w:val="18"/>
        </w:rPr>
        <w:t xml:space="preserve"> </w:t>
      </w:r>
      <w:r w:rsidRPr="00521E5A">
        <w:rPr>
          <w:rFonts w:eastAsia="Times New Roman"/>
          <w:sz w:val="18"/>
        </w:rPr>
        <w:t>(2017) 252.</w:t>
      </w:r>
    </w:p>
    <w:p w:rsidR="00521E5A" w:rsidRPr="00521E5A" w:rsidRDefault="00521E5A" w:rsidP="00521E5A">
      <w:pPr>
        <w:pStyle w:val="a5"/>
        <w:numPr>
          <w:ilvl w:val="0"/>
          <w:numId w:val="3"/>
        </w:numPr>
        <w:tabs>
          <w:tab w:val="left" w:pos="384"/>
        </w:tabs>
        <w:spacing w:line="216" w:lineRule="exact"/>
        <w:ind w:right="138" w:hanging="283"/>
        <w:rPr>
          <w:sz w:val="12"/>
        </w:rPr>
      </w:pPr>
      <w:r>
        <w:rPr>
          <w:rFonts w:eastAsia="Times New Roman"/>
          <w:sz w:val="18"/>
        </w:rPr>
        <w:t xml:space="preserve">Y. </w:t>
      </w:r>
      <w:proofErr w:type="spellStart"/>
      <w:r>
        <w:rPr>
          <w:rFonts w:eastAsia="Times New Roman"/>
          <w:sz w:val="18"/>
        </w:rPr>
        <w:t>Daiko</w:t>
      </w:r>
      <w:proofErr w:type="spellEnd"/>
      <w:r>
        <w:rPr>
          <w:rFonts w:eastAsia="Times New Roman"/>
          <w:sz w:val="18"/>
        </w:rPr>
        <w:t xml:space="preserve">, K. </w:t>
      </w:r>
      <w:proofErr w:type="spellStart"/>
      <w:r>
        <w:rPr>
          <w:rFonts w:eastAsia="Times New Roman"/>
          <w:sz w:val="18"/>
        </w:rPr>
        <w:t>Segawa</w:t>
      </w:r>
      <w:proofErr w:type="spellEnd"/>
      <w:r>
        <w:rPr>
          <w:rFonts w:eastAsia="Times New Roman"/>
          <w:sz w:val="18"/>
        </w:rPr>
        <w:t>, S. Honda, Y. Iwamoto, Solid State Ionics (in press)</w:t>
      </w:r>
    </w:p>
    <w:p w:rsidR="00AE3E37" w:rsidRDefault="00AE3E37" w:rsidP="008756E6">
      <w:pPr>
        <w:tabs>
          <w:tab w:val="left" w:pos="384"/>
        </w:tabs>
        <w:ind w:right="117"/>
      </w:pPr>
    </w:p>
    <w:p w:rsidR="00521E5A" w:rsidRPr="008756E6" w:rsidRDefault="00521E5A"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6CF70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Pr="006E7BA2" w:rsidRDefault="008756E6" w:rsidP="00404E5B">
      <w:pPr>
        <w:spacing w:before="92"/>
        <w:ind w:right="4234"/>
        <w:rPr>
          <w:rFonts w:ascii="Arial" w:eastAsiaTheme="minorEastAsia" w:hint="eastAsia"/>
          <w:lang w:eastAsia="ja-JP"/>
        </w:rPr>
      </w:pPr>
      <w:r>
        <w:rPr>
          <w:noProof/>
        </w:rPr>
        <w:t xml:space="preserve">              </w:t>
      </w:r>
      <w:r w:rsidR="006E7BA2" w:rsidRPr="006E7BA2">
        <w:rPr>
          <w:noProof/>
        </w:rPr>
        <w:t xml:space="preserve"> </w:t>
      </w:r>
      <w:r w:rsidR="006E7BA2" w:rsidRPr="006E7BA2">
        <w:rPr>
          <w:noProof/>
        </w:rPr>
        <w:drawing>
          <wp:inline distT="0" distB="0" distL="0" distR="0" wp14:anchorId="6DAE513F" wp14:editId="03B0E0AA">
            <wp:extent cx="573741" cy="81471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BEBA8EAE-BF5A-486C-A8C5-ECC9F3942E4B}">
                          <a14:imgProps xmlns:a14="http://schemas.microsoft.com/office/drawing/2010/main">
                            <a14:imgLayer r:embed="rId11">
                              <a14:imgEffect>
                                <a14:brightnessContrast bright="20000"/>
                              </a14:imgEffect>
                            </a14:imgLayer>
                          </a14:imgProps>
                        </a:ext>
                      </a:extLst>
                    </a:blip>
                    <a:stretch>
                      <a:fillRect/>
                    </a:stretch>
                  </pic:blipFill>
                  <pic:spPr>
                    <a:xfrm>
                      <a:off x="0" y="0"/>
                      <a:ext cx="579652" cy="823107"/>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1125A4" w:rsidRPr="001125A4" w:rsidRDefault="001125A4" w:rsidP="001125A4">
      <w:pPr>
        <w:spacing w:before="41"/>
        <w:ind w:left="213" w:right="231"/>
        <w:jc w:val="both"/>
        <w:rPr>
          <w:rFonts w:ascii="Arial" w:hAnsi="Arial" w:cs="Arial"/>
          <w:sz w:val="16"/>
          <w:szCs w:val="18"/>
        </w:rPr>
      </w:pPr>
      <w:r w:rsidRPr="001125A4">
        <w:rPr>
          <w:rFonts w:ascii="Arial" w:hAnsi="Arial" w:cs="Arial"/>
          <w:sz w:val="16"/>
          <w:szCs w:val="18"/>
        </w:rPr>
        <w:t xml:space="preserve">Yusuke </w:t>
      </w:r>
      <w:proofErr w:type="spellStart"/>
      <w:r w:rsidRPr="001125A4">
        <w:rPr>
          <w:rFonts w:ascii="Arial" w:hAnsi="Arial" w:cs="Arial"/>
          <w:sz w:val="16"/>
          <w:szCs w:val="18"/>
        </w:rPr>
        <w:t>Daiko</w:t>
      </w:r>
      <w:proofErr w:type="spellEnd"/>
      <w:r w:rsidRPr="001125A4">
        <w:rPr>
          <w:rFonts w:ascii="Arial" w:hAnsi="Arial" w:cs="Arial"/>
          <w:sz w:val="16"/>
          <w:szCs w:val="18"/>
        </w:rPr>
        <w:t xml:space="preserve"> has his expertise in ion conducting materials including glasses, ceramics and organic-inorganic hybrids. He received Donald R. Ulrich Award 2013, International Sol-Gel </w:t>
      </w:r>
      <w:proofErr w:type="spellStart"/>
      <w:r w:rsidRPr="001125A4">
        <w:rPr>
          <w:rFonts w:ascii="Arial" w:hAnsi="Arial" w:cs="Arial"/>
          <w:sz w:val="16"/>
          <w:szCs w:val="18"/>
        </w:rPr>
        <w:t>Sciety</w:t>
      </w:r>
      <w:proofErr w:type="spellEnd"/>
      <w:r w:rsidRPr="001125A4">
        <w:rPr>
          <w:rFonts w:ascii="Arial" w:hAnsi="Arial" w:cs="Arial"/>
          <w:sz w:val="16"/>
          <w:szCs w:val="18"/>
        </w:rPr>
        <w:t>(ISGS) and the 67</w:t>
      </w:r>
      <w:r w:rsidRPr="001125A4">
        <w:rPr>
          <w:rFonts w:ascii="Arial" w:hAnsi="Arial" w:cs="Arial"/>
          <w:sz w:val="16"/>
          <w:szCs w:val="18"/>
          <w:vertAlign w:val="superscript"/>
        </w:rPr>
        <w:t>th</w:t>
      </w:r>
      <w:r w:rsidRPr="001125A4">
        <w:rPr>
          <w:rFonts w:ascii="Arial" w:hAnsi="Arial" w:cs="Arial"/>
          <w:sz w:val="16"/>
          <w:szCs w:val="18"/>
        </w:rPr>
        <w:t xml:space="preserve"> Ceramic Society of Japan (</w:t>
      </w:r>
      <w:proofErr w:type="spellStart"/>
      <w:r w:rsidRPr="001125A4">
        <w:rPr>
          <w:rFonts w:ascii="Arial" w:hAnsi="Arial" w:cs="Arial"/>
          <w:sz w:val="16"/>
          <w:szCs w:val="18"/>
        </w:rPr>
        <w:t>CerSJ</w:t>
      </w:r>
      <w:proofErr w:type="spellEnd"/>
      <w:r w:rsidRPr="001125A4">
        <w:rPr>
          <w:rFonts w:ascii="Arial" w:hAnsi="Arial" w:cs="Arial"/>
          <w:sz w:val="16"/>
          <w:szCs w:val="18"/>
        </w:rPr>
        <w:t>) Awards (for Advancements in Ceramic Science and Technology) in 2013 for his rese</w:t>
      </w:r>
      <w:bookmarkStart w:id="0" w:name="_GoBack"/>
      <w:bookmarkEnd w:id="0"/>
      <w:r w:rsidRPr="001125A4">
        <w:rPr>
          <w:rFonts w:ascii="Arial" w:hAnsi="Arial" w:cs="Arial"/>
          <w:sz w:val="16"/>
          <w:szCs w:val="18"/>
        </w:rPr>
        <w:t>arch development about proton conducting glasses.</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521E5A">
        <w:rPr>
          <w:rFonts w:ascii="Arial"/>
          <w:sz w:val="14"/>
        </w:rPr>
        <w:t>daiko.yusuke@nitech.ac.jp</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02E5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CA8" w:rsidRDefault="00A73CA8">
      <w:r>
        <w:separator/>
      </w:r>
    </w:p>
  </w:endnote>
  <w:endnote w:type="continuationSeparator" w:id="0">
    <w:p w:rsidR="00A73CA8" w:rsidRDefault="00A73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CA8" w:rsidRDefault="00A73CA8">
      <w:r>
        <w:separator/>
      </w:r>
    </w:p>
  </w:footnote>
  <w:footnote w:type="continuationSeparator" w:id="0">
    <w:p w:rsidR="00A73CA8" w:rsidRDefault="00A73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37BA3" w:rsidRDefault="00A9710C">
                          <w:pPr>
                            <w:spacing w:before="2" w:line="249" w:lineRule="auto"/>
                            <w:ind w:left="156" w:right="18" w:hanging="137"/>
                            <w:rPr>
                              <w:rFonts w:ascii="Arial"/>
                              <w:color w:val="FFFFFF" w:themeColor="background1"/>
                              <w:sz w:val="14"/>
                              <w:lang w:val="fr-FR"/>
                            </w:rPr>
                          </w:pPr>
                          <w:r w:rsidRPr="00E37BA3">
                            <w:rPr>
                              <w:rFonts w:ascii="Arial"/>
                              <w:color w:val="FFFFFF" w:themeColor="background1"/>
                              <w:sz w:val="14"/>
                              <w:lang w:val="fr-FR"/>
                            </w:rPr>
                            <w:t xml:space="preserve">T Furuta et al., J Pai n Relief 2016, 5:3(Suppl) </w:t>
                          </w:r>
                          <w:r w:rsidR="00A73CA8">
                            <w:fldChar w:fldCharType="begin"/>
                          </w:r>
                          <w:r w:rsidR="00A73CA8" w:rsidRPr="00E37BA3">
                            <w:rPr>
                              <w:lang w:val="fr-FR"/>
                            </w:rPr>
                            <w:instrText xml:space="preserve"> HYPERLINK "http://dx.doi.org/10.4172/2167-0846.C1.006" \h </w:instrText>
                          </w:r>
                          <w:r w:rsidR="00A73CA8">
                            <w:fldChar w:fldCharType="separate"/>
                          </w:r>
                          <w:r w:rsidRPr="00E37BA3">
                            <w:rPr>
                              <w:rFonts w:ascii="Arial"/>
                              <w:color w:val="FFFFFF" w:themeColor="background1"/>
                              <w:sz w:val="14"/>
                              <w:lang w:val="fr-FR"/>
                            </w:rPr>
                            <w:t>http://dx.doi.org/10.4172/2167-0846.C1.006</w:t>
                          </w:r>
                          <w:r w:rsidR="00A73CA8">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E37BA3" w:rsidRDefault="00A9710C">
                    <w:pPr>
                      <w:spacing w:before="2" w:line="249" w:lineRule="auto"/>
                      <w:ind w:left="156" w:right="18" w:hanging="137"/>
                      <w:rPr>
                        <w:rFonts w:ascii="Arial"/>
                        <w:color w:val="FFFFFF" w:themeColor="background1"/>
                        <w:sz w:val="14"/>
                        <w:lang w:val="fr-FR"/>
                      </w:rPr>
                    </w:pPr>
                    <w:r w:rsidRPr="00E37BA3">
                      <w:rPr>
                        <w:rFonts w:ascii="Arial"/>
                        <w:color w:val="FFFFFF" w:themeColor="background1"/>
                        <w:sz w:val="14"/>
                        <w:lang w:val="fr-FR"/>
                      </w:rPr>
                      <w:t xml:space="preserve">T Furuta et al., J Pai n Relief 2016, 5:3(Suppl) </w:t>
                    </w:r>
                    <w:r w:rsidR="00A73CA8">
                      <w:fldChar w:fldCharType="begin"/>
                    </w:r>
                    <w:r w:rsidR="00A73CA8" w:rsidRPr="00E37BA3">
                      <w:rPr>
                        <w:lang w:val="fr-FR"/>
                      </w:rPr>
                      <w:instrText xml:space="preserve"> HYPERLINK "http://dx.doi.org/10.4172/2167-0846.C1.006" \h </w:instrText>
                    </w:r>
                    <w:r w:rsidR="00A73CA8">
                      <w:fldChar w:fldCharType="separate"/>
                    </w:r>
                    <w:r w:rsidRPr="00E37BA3">
                      <w:rPr>
                        <w:rFonts w:ascii="Arial"/>
                        <w:color w:val="FFFFFF" w:themeColor="background1"/>
                        <w:sz w:val="14"/>
                        <w:lang w:val="fr-FR"/>
                      </w:rPr>
                      <w:t>http://dx.doi.org/10.4172/2167-0846.C1.006</w:t>
                    </w:r>
                    <w:r w:rsidR="00A73CA8">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11ABD"/>
    <w:rsid w:val="000E2911"/>
    <w:rsid w:val="001125A4"/>
    <w:rsid w:val="001263DF"/>
    <w:rsid w:val="001E752F"/>
    <w:rsid w:val="0023086C"/>
    <w:rsid w:val="00292ED9"/>
    <w:rsid w:val="002F78CD"/>
    <w:rsid w:val="00404E5B"/>
    <w:rsid w:val="00414F7B"/>
    <w:rsid w:val="004355DC"/>
    <w:rsid w:val="004749B4"/>
    <w:rsid w:val="00494130"/>
    <w:rsid w:val="004F3523"/>
    <w:rsid w:val="00521E5A"/>
    <w:rsid w:val="005973B9"/>
    <w:rsid w:val="005B3A56"/>
    <w:rsid w:val="006060CE"/>
    <w:rsid w:val="0063497F"/>
    <w:rsid w:val="006E7BA2"/>
    <w:rsid w:val="00770E30"/>
    <w:rsid w:val="007D3A55"/>
    <w:rsid w:val="00873DF0"/>
    <w:rsid w:val="008756E6"/>
    <w:rsid w:val="00983618"/>
    <w:rsid w:val="009B2D44"/>
    <w:rsid w:val="00A07E82"/>
    <w:rsid w:val="00A527E3"/>
    <w:rsid w:val="00A73CA8"/>
    <w:rsid w:val="00A9710C"/>
    <w:rsid w:val="00AE3E37"/>
    <w:rsid w:val="00B21A57"/>
    <w:rsid w:val="00C33602"/>
    <w:rsid w:val="00CD6F55"/>
    <w:rsid w:val="00DE3104"/>
    <w:rsid w:val="00E37BA3"/>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81514A7"/>
  <w15:docId w15:val="{334DDE68-67EF-C740-88A0-03DA4F58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467</Words>
  <Characters>2668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大幸　裕介</cp:lastModifiedBy>
  <cp:revision>5</cp:revision>
  <dcterms:created xsi:type="dcterms:W3CDTF">2018-04-04T12:15:00Z</dcterms:created>
  <dcterms:modified xsi:type="dcterms:W3CDTF">2018-04-16T15:33:00Z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