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966" w:rsidRPr="00DE1966" w:rsidRDefault="00DE1966" w:rsidP="00DE1966">
      <w:pPr>
        <w:pStyle w:val="Title"/>
        <w:ind w:left="567" w:right="567"/>
        <w:jc w:val="both"/>
        <w:rPr>
          <w:rFonts w:ascii="Minion Pro" w:hAnsi="Minion Pro"/>
          <w:b w:val="0"/>
          <w:color w:val="548DD4" w:themeColor="text2" w:themeTint="99"/>
          <w:sz w:val="36"/>
          <w:szCs w:val="36"/>
        </w:rPr>
      </w:pPr>
      <w:r w:rsidRPr="00DE1966">
        <w:rPr>
          <w:rFonts w:ascii="Minion Pro" w:hAnsi="Minion Pro"/>
          <w:color w:val="548DD4" w:themeColor="text2" w:themeTint="99"/>
          <w:sz w:val="36"/>
          <w:szCs w:val="36"/>
        </w:rPr>
        <w:t>A new interfacial bio-sensing approach for detecting aberrant protein phosphorylation in cancer</w:t>
      </w:r>
    </w:p>
    <w:p w:rsidR="00DE1966" w:rsidRDefault="00DE1966" w:rsidP="00DE1966">
      <w:pPr>
        <w:pStyle w:val="BodyText"/>
        <w:ind w:left="567" w:right="567"/>
        <w:rPr>
          <w:rFonts w:ascii="Arial"/>
          <w:u w:val="single"/>
        </w:rPr>
      </w:pPr>
    </w:p>
    <w:p w:rsidR="00DE1966" w:rsidRPr="00DE1966" w:rsidRDefault="00DE1966" w:rsidP="00DE1966">
      <w:pPr>
        <w:pStyle w:val="BodyText"/>
        <w:ind w:left="567" w:right="567"/>
        <w:rPr>
          <w:rFonts w:ascii="Arial"/>
        </w:rPr>
      </w:pPr>
      <w:proofErr w:type="spellStart"/>
      <w:r w:rsidRPr="00DE1966">
        <w:rPr>
          <w:rFonts w:ascii="Arial"/>
          <w:u w:val="single"/>
        </w:rPr>
        <w:t>Mostak</w:t>
      </w:r>
      <w:proofErr w:type="spellEnd"/>
      <w:r w:rsidRPr="00DE1966">
        <w:rPr>
          <w:rFonts w:ascii="Arial"/>
          <w:u w:val="single"/>
        </w:rPr>
        <w:t xml:space="preserve"> Ahmed</w:t>
      </w:r>
      <w:r w:rsidRPr="00DE1966">
        <w:rPr>
          <w:rFonts w:ascii="Arial"/>
        </w:rPr>
        <w:t xml:space="preserve">*, Laura G. </w:t>
      </w:r>
      <w:proofErr w:type="spellStart"/>
      <w:r w:rsidRPr="00DE1966">
        <w:rPr>
          <w:rFonts w:ascii="Arial"/>
        </w:rPr>
        <w:t>Carrascosa</w:t>
      </w:r>
      <w:proofErr w:type="spellEnd"/>
      <w:r w:rsidRPr="00DE1966">
        <w:rPr>
          <w:rFonts w:ascii="Arial"/>
        </w:rPr>
        <w:t xml:space="preserve">, Paul Mainwaring, and Matt </w:t>
      </w:r>
      <w:proofErr w:type="spellStart"/>
      <w:r w:rsidRPr="00DE1966">
        <w:rPr>
          <w:rFonts w:ascii="Arial"/>
        </w:rPr>
        <w:t>Trau</w:t>
      </w:r>
      <w:proofErr w:type="spellEnd"/>
    </w:p>
    <w:p w:rsidR="00DE1966" w:rsidRPr="00DE1966" w:rsidRDefault="00DE1966" w:rsidP="00DE1966">
      <w:pPr>
        <w:pStyle w:val="BodyText"/>
        <w:ind w:left="567" w:right="567"/>
        <w:rPr>
          <w:rFonts w:ascii="Arial"/>
        </w:rPr>
      </w:pPr>
    </w:p>
    <w:p w:rsidR="00DE1966" w:rsidRDefault="00DE1966" w:rsidP="00DE1966">
      <w:pPr>
        <w:pStyle w:val="BodyText"/>
        <w:ind w:left="567" w:right="567"/>
        <w:jc w:val="both"/>
        <w:rPr>
          <w:rFonts w:ascii="Arial"/>
        </w:rPr>
      </w:pPr>
      <w:r w:rsidRPr="00DE1966">
        <w:rPr>
          <w:rFonts w:ascii="Arial"/>
        </w:rPr>
        <w:t xml:space="preserve">Centre for Personalized Nanomedicine, Australian Institute for Bioengineering and Nanotechnology (AIBN), </w:t>
      </w:r>
      <w:proofErr w:type="gramStart"/>
      <w:r w:rsidRPr="00DE1966">
        <w:rPr>
          <w:rFonts w:ascii="Arial"/>
        </w:rPr>
        <w:t>The</w:t>
      </w:r>
      <w:proofErr w:type="gramEnd"/>
      <w:r w:rsidRPr="00DE1966">
        <w:rPr>
          <w:rFonts w:ascii="Arial"/>
        </w:rPr>
        <w:t xml:space="preserve"> University of Queensland, Brisbane, QLD 4072, Australia</w:t>
      </w:r>
    </w:p>
    <w:p w:rsidR="00FD4411" w:rsidRDefault="00DE1966" w:rsidP="00DE1966">
      <w:pPr>
        <w:pStyle w:val="BodyText"/>
        <w:ind w:right="567"/>
        <w:jc w:val="both"/>
        <w:rPr>
          <w:rFonts w:ascii="Arial"/>
          <w:sz w:val="21"/>
        </w:rPr>
        <w:sectPr w:rsidR="00FD4411">
          <w:pgSz w:w="11910" w:h="16840"/>
          <w:pgMar w:top="1740" w:right="600" w:bottom="840" w:left="620" w:header="541" w:footer="642" w:gutter="0"/>
          <w:cols w:space="720"/>
        </w:sectPr>
      </w:pPr>
      <w:r w:rsidRPr="00DE1966">
        <w:rPr>
          <w:rFonts w:ascii="Arial"/>
        </w:rPr>
        <w:t xml:space="preserve"> </w:t>
      </w:r>
    </w:p>
    <w:p w:rsidR="00FD4411" w:rsidRPr="00DE1966" w:rsidRDefault="00DE1966" w:rsidP="00DE1966">
      <w:pPr>
        <w:pStyle w:val="Heading3"/>
        <w:spacing w:before="147"/>
        <w:ind w:left="567" w:right="567"/>
        <w:jc w:val="both"/>
        <w:rPr>
          <w:color w:val="E36C0A" w:themeColor="accent6" w:themeShade="BF"/>
        </w:rPr>
      </w:pPr>
      <w:r w:rsidRPr="00DE1966">
        <w:rPr>
          <w:color w:val="E36C0A" w:themeColor="accent6" w:themeShade="BF"/>
        </w:rPr>
        <w:t>Abstract</w:t>
      </w:r>
    </w:p>
    <w:p w:rsidR="00DE1966" w:rsidRDefault="00DE1966" w:rsidP="00DE1966">
      <w:pPr>
        <w:pStyle w:val="Heading3"/>
        <w:spacing w:before="74"/>
        <w:ind w:left="567" w:right="567"/>
        <w:jc w:val="both"/>
        <w:rPr>
          <w:rFonts w:ascii="Tw Cen MT" w:eastAsia="Tw Cen MT" w:hAnsi="Tw Cen MT" w:cs="Tw Cen MT"/>
          <w:b w:val="0"/>
          <w:bCs w:val="0"/>
          <w:sz w:val="18"/>
          <w:szCs w:val="18"/>
        </w:rPr>
      </w:pPr>
      <w:r w:rsidRPr="00DE1966">
        <w:rPr>
          <w:rFonts w:ascii="Tw Cen MT" w:eastAsia="Tw Cen MT" w:hAnsi="Tw Cen MT" w:cs="Tw Cen MT"/>
          <w:b w:val="0"/>
          <w:bCs w:val="0"/>
          <w:sz w:val="18"/>
          <w:szCs w:val="18"/>
        </w:rPr>
        <w:t xml:space="preserve">Protein phosphorylation is one of the most prominent post-translational mechanisms for protein regulation, which is frequently impaired in cancer. Through the covalent addition of phosphate groups to certain amino-acids, the interactions of former residues with nearby amino-acids are drastically altered, resulting in major changes of protein conformation that impacts its biological function. Herein, we report that these conformational changes can also disturb the protein's ability to interact with and adsorb onto bare gold surfaces. Based on the direct interaction of proteins with the gold interface, we further developed an extremely simple method for aberrant phosphorylation detection that circumvents the current need for </w:t>
      </w:r>
      <w:proofErr w:type="spellStart"/>
      <w:r w:rsidRPr="00DE1966">
        <w:rPr>
          <w:rFonts w:ascii="Tw Cen MT" w:eastAsia="Tw Cen MT" w:hAnsi="Tw Cen MT" w:cs="Tw Cen MT"/>
          <w:b w:val="0"/>
          <w:bCs w:val="0"/>
          <w:sz w:val="18"/>
          <w:szCs w:val="18"/>
        </w:rPr>
        <w:t>phospho</w:t>
      </w:r>
      <w:proofErr w:type="spellEnd"/>
      <w:r w:rsidRPr="00DE1966">
        <w:rPr>
          <w:rFonts w:ascii="Tw Cen MT" w:eastAsia="Tw Cen MT" w:hAnsi="Tw Cen MT" w:cs="Tw Cen MT"/>
          <w:b w:val="0"/>
          <w:bCs w:val="0"/>
          <w:sz w:val="18"/>
          <w:szCs w:val="18"/>
        </w:rPr>
        <w:t xml:space="preserve">-specific antibodies. The novel interfacial bio-sensing method, which only requires 50 ng of purified protein, was applied to EGFR phosphorylation analysis in several lung cancer cell lines and also enabled monitoring their cell sensitivity to tyrosine kinase inhibitors (TKI) </w:t>
      </w:r>
      <w:r w:rsidRPr="00DE1966">
        <w:rPr>
          <w:rFonts w:eastAsia="Tw Cen MT"/>
          <w:b w:val="0"/>
          <w:bCs w:val="0"/>
          <w:sz w:val="18"/>
          <w:szCs w:val="18"/>
        </w:rPr>
        <w:t>―</w:t>
      </w:r>
      <w:r w:rsidRPr="00DE1966">
        <w:rPr>
          <w:rFonts w:ascii="Tw Cen MT" w:eastAsia="Tw Cen MT" w:hAnsi="Tw Cen MT" w:cs="Tw Cen MT"/>
          <w:b w:val="0"/>
          <w:bCs w:val="0"/>
          <w:sz w:val="18"/>
          <w:szCs w:val="18"/>
        </w:rPr>
        <w:t xml:space="preserve"> a drug frequently used in the clinic for lung cancer treatment.</w:t>
      </w:r>
    </w:p>
    <w:p w:rsidR="00DE1966" w:rsidRDefault="00DE1966" w:rsidP="00DE1966">
      <w:pPr>
        <w:pStyle w:val="Heading3"/>
        <w:spacing w:before="74"/>
        <w:ind w:left="567" w:right="567"/>
        <w:jc w:val="both"/>
        <w:rPr>
          <w:noProof/>
          <w:lang w:val="en-AU" w:eastAsia="en-AU"/>
        </w:rPr>
      </w:pPr>
    </w:p>
    <w:p w:rsidR="00DE1966" w:rsidRPr="00DE1966" w:rsidRDefault="00DE1966" w:rsidP="00DE1966">
      <w:pPr>
        <w:pStyle w:val="Heading3"/>
        <w:spacing w:before="74"/>
        <w:ind w:left="567" w:right="567"/>
        <w:jc w:val="both"/>
        <w:rPr>
          <w:rFonts w:ascii="Tw Cen MT" w:eastAsia="Tw Cen MT" w:hAnsi="Tw Cen MT" w:cs="Tw Cen MT"/>
          <w:b w:val="0"/>
          <w:bCs w:val="0"/>
          <w:sz w:val="18"/>
          <w:szCs w:val="18"/>
        </w:rPr>
      </w:pPr>
      <w:r>
        <w:rPr>
          <w:b w:val="0"/>
          <w:noProof/>
          <w:sz w:val="16"/>
          <w:lang w:val="en-AU" w:eastAsia="en-AU"/>
        </w:rPr>
        <w:drawing>
          <wp:anchor distT="0" distB="0" distL="114300" distR="114300" simplePos="0" relativeHeight="251663360" behindDoc="0" locked="0" layoutInCell="1" allowOverlap="1" wp14:anchorId="2ADDA048" wp14:editId="135AB23E">
            <wp:simplePos x="0" y="0"/>
            <wp:positionH relativeFrom="column">
              <wp:posOffset>377190</wp:posOffset>
            </wp:positionH>
            <wp:positionV relativeFrom="paragraph">
              <wp:posOffset>168275</wp:posOffset>
            </wp:positionV>
            <wp:extent cx="2565000" cy="2700000"/>
            <wp:effectExtent l="0" t="0" r="6985"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5000" cy="2700000"/>
                    </a:xfrm>
                    <a:prstGeom prst="rect">
                      <a:avLst/>
                    </a:prstGeom>
                    <a:noFill/>
                  </pic:spPr>
                </pic:pic>
              </a:graphicData>
            </a:graphic>
            <wp14:sizeRelH relativeFrom="margin">
              <wp14:pctWidth>0</wp14:pctWidth>
            </wp14:sizeRelH>
            <wp14:sizeRelV relativeFrom="margin">
              <wp14:pctHeight>0</wp14:pctHeight>
            </wp14:sizeRelV>
          </wp:anchor>
        </w:drawing>
      </w:r>
    </w:p>
    <w:p w:rsidR="00FD4411" w:rsidRDefault="00DE1966" w:rsidP="00DE1966">
      <w:pPr>
        <w:pStyle w:val="Heading3"/>
        <w:spacing w:before="74"/>
        <w:ind w:left="567" w:right="567"/>
        <w:rPr>
          <w:b w:val="0"/>
          <w:sz w:val="16"/>
        </w:rPr>
      </w:pPr>
      <w:r w:rsidRPr="00DE1966">
        <w:rPr>
          <w:rFonts w:ascii="Tw Cen MT" w:eastAsia="Tw Cen MT" w:hAnsi="Tw Cen MT" w:cs="Tw Cen MT"/>
          <w:b w:val="0"/>
          <w:bCs w:val="0"/>
          <w:sz w:val="18"/>
          <w:szCs w:val="18"/>
        </w:rPr>
        <w:t xml:space="preserve"> </w:t>
      </w:r>
      <w:r w:rsidR="00FD4411">
        <w:rPr>
          <w:bCs w:val="0"/>
        </w:rPr>
        <w:br w:type="column"/>
      </w:r>
    </w:p>
    <w:p w:rsidR="00DE1966" w:rsidRPr="00DE1966" w:rsidRDefault="00DE1966" w:rsidP="00DE1966">
      <w:pPr>
        <w:tabs>
          <w:tab w:val="left" w:pos="384"/>
        </w:tabs>
        <w:ind w:left="567" w:right="567" w:hanging="425"/>
        <w:rPr>
          <w:rFonts w:ascii="Arial" w:eastAsia="Calibri" w:hAnsi="Arial" w:cs="Arial"/>
          <w:b/>
          <w:color w:val="E36C0A" w:themeColor="accent6" w:themeShade="BF"/>
          <w:sz w:val="20"/>
          <w:szCs w:val="20"/>
        </w:rPr>
      </w:pPr>
      <w:r w:rsidRPr="00DE1966">
        <w:rPr>
          <w:rFonts w:ascii="Arial" w:eastAsia="Calibri" w:hAnsi="Arial" w:cs="Arial"/>
          <w:b/>
          <w:color w:val="E36C0A" w:themeColor="accent6" w:themeShade="BF"/>
          <w:sz w:val="20"/>
          <w:szCs w:val="20"/>
        </w:rPr>
        <w:t>References</w:t>
      </w:r>
    </w:p>
    <w:p w:rsidR="00DE1966" w:rsidRDefault="00DE1966" w:rsidP="005324A8">
      <w:pPr>
        <w:pStyle w:val="ListParagraph"/>
        <w:numPr>
          <w:ilvl w:val="0"/>
          <w:numId w:val="2"/>
        </w:numPr>
        <w:tabs>
          <w:tab w:val="left" w:pos="709"/>
        </w:tabs>
        <w:ind w:left="426" w:right="567" w:hanging="284"/>
        <w:rPr>
          <w:sz w:val="18"/>
        </w:rPr>
      </w:pPr>
      <w:r w:rsidRPr="00DE1966">
        <w:rPr>
          <w:sz w:val="18"/>
        </w:rPr>
        <w:t xml:space="preserve">Ahmed, M.; </w:t>
      </w:r>
      <w:proofErr w:type="spellStart"/>
      <w:r w:rsidRPr="00DE1966">
        <w:rPr>
          <w:sz w:val="18"/>
        </w:rPr>
        <w:t>Carrascosa</w:t>
      </w:r>
      <w:proofErr w:type="spellEnd"/>
      <w:r w:rsidRPr="00DE1966">
        <w:rPr>
          <w:sz w:val="18"/>
        </w:rPr>
        <w:t xml:space="preserve">, L. G.; </w:t>
      </w:r>
      <w:proofErr w:type="spellStart"/>
      <w:r w:rsidRPr="00DE1966">
        <w:rPr>
          <w:sz w:val="18"/>
        </w:rPr>
        <w:t>Sina</w:t>
      </w:r>
      <w:proofErr w:type="spellEnd"/>
      <w:r w:rsidRPr="00DE1966">
        <w:rPr>
          <w:sz w:val="18"/>
        </w:rPr>
        <w:t xml:space="preserve">, A. A. I.; </w:t>
      </w:r>
      <w:r w:rsidR="003E256A">
        <w:rPr>
          <w:sz w:val="18"/>
        </w:rPr>
        <w:t xml:space="preserve">Zarate, E. M.; </w:t>
      </w:r>
      <w:proofErr w:type="spellStart"/>
      <w:r w:rsidR="003E256A">
        <w:rPr>
          <w:sz w:val="18"/>
        </w:rPr>
        <w:t>Korbie</w:t>
      </w:r>
      <w:proofErr w:type="spellEnd"/>
      <w:r w:rsidR="003E256A">
        <w:rPr>
          <w:sz w:val="18"/>
        </w:rPr>
        <w:t xml:space="preserve">, D.  Ru, </w:t>
      </w:r>
      <w:r w:rsidRPr="00DE1966">
        <w:rPr>
          <w:sz w:val="18"/>
        </w:rPr>
        <w:t xml:space="preserve">K.-l.; </w:t>
      </w:r>
      <w:proofErr w:type="spellStart"/>
      <w:r w:rsidRPr="00DE1966">
        <w:rPr>
          <w:sz w:val="18"/>
        </w:rPr>
        <w:t>Shiddiky</w:t>
      </w:r>
      <w:proofErr w:type="spellEnd"/>
      <w:r w:rsidRPr="00DE1966">
        <w:rPr>
          <w:sz w:val="18"/>
        </w:rPr>
        <w:t xml:space="preserve">, M. J.; Mainwaring, P.; </w:t>
      </w:r>
      <w:proofErr w:type="spellStart"/>
      <w:r w:rsidRPr="00DE1966">
        <w:rPr>
          <w:sz w:val="18"/>
        </w:rPr>
        <w:t>Trau</w:t>
      </w:r>
      <w:proofErr w:type="spellEnd"/>
      <w:r w:rsidRPr="00DE1966">
        <w:rPr>
          <w:sz w:val="18"/>
        </w:rPr>
        <w:t xml:space="preserve">, M. </w:t>
      </w:r>
      <w:proofErr w:type="spellStart"/>
      <w:r w:rsidRPr="00DE1966">
        <w:rPr>
          <w:sz w:val="18"/>
        </w:rPr>
        <w:t>Biosens</w:t>
      </w:r>
      <w:proofErr w:type="spellEnd"/>
      <w:r w:rsidRPr="00DE1966">
        <w:rPr>
          <w:sz w:val="18"/>
        </w:rPr>
        <w:t xml:space="preserve">. </w:t>
      </w:r>
      <w:proofErr w:type="spellStart"/>
      <w:r w:rsidRPr="00DE1966">
        <w:rPr>
          <w:sz w:val="18"/>
        </w:rPr>
        <w:t>Bioelectron</w:t>
      </w:r>
      <w:proofErr w:type="spellEnd"/>
      <w:r w:rsidRPr="00DE1966">
        <w:rPr>
          <w:sz w:val="18"/>
        </w:rPr>
        <w:t>. 2017, 91, 8-14.</w:t>
      </w:r>
    </w:p>
    <w:p w:rsidR="00DE1966" w:rsidRDefault="00DE1966" w:rsidP="005324A8">
      <w:pPr>
        <w:pStyle w:val="ListParagraph"/>
        <w:numPr>
          <w:ilvl w:val="0"/>
          <w:numId w:val="2"/>
        </w:numPr>
        <w:tabs>
          <w:tab w:val="left" w:pos="426"/>
        </w:tabs>
        <w:ind w:left="426" w:right="567" w:hanging="284"/>
        <w:rPr>
          <w:sz w:val="18"/>
        </w:rPr>
      </w:pPr>
      <w:proofErr w:type="spellStart"/>
      <w:r w:rsidRPr="00DE1966">
        <w:rPr>
          <w:sz w:val="18"/>
        </w:rPr>
        <w:t>Karve</w:t>
      </w:r>
      <w:proofErr w:type="spellEnd"/>
      <w:r w:rsidRPr="00DE1966">
        <w:rPr>
          <w:sz w:val="18"/>
        </w:rPr>
        <w:t>, T. M., &amp; Cheema, A. K. Journal of amino acids, 201</w:t>
      </w:r>
      <w:r w:rsidR="003E256A">
        <w:rPr>
          <w:sz w:val="18"/>
        </w:rPr>
        <w:t>1</w:t>
      </w:r>
      <w:r w:rsidRPr="00DE1966">
        <w:rPr>
          <w:sz w:val="18"/>
        </w:rPr>
        <w:t>, 20</w:t>
      </w:r>
      <w:r w:rsidR="003E256A">
        <w:rPr>
          <w:sz w:val="18"/>
        </w:rPr>
        <w:t>1</w:t>
      </w:r>
      <w:r w:rsidRPr="00DE1966">
        <w:rPr>
          <w:sz w:val="18"/>
        </w:rPr>
        <w:t>1.</w:t>
      </w:r>
    </w:p>
    <w:p w:rsidR="00DE1966" w:rsidRDefault="00DE1966" w:rsidP="005324A8">
      <w:pPr>
        <w:pStyle w:val="ListParagraph"/>
        <w:numPr>
          <w:ilvl w:val="0"/>
          <w:numId w:val="2"/>
        </w:numPr>
        <w:tabs>
          <w:tab w:val="left" w:pos="709"/>
        </w:tabs>
        <w:ind w:left="426" w:right="567" w:hanging="284"/>
        <w:rPr>
          <w:sz w:val="18"/>
        </w:rPr>
      </w:pPr>
      <w:proofErr w:type="spellStart"/>
      <w:r w:rsidRPr="00DE1966">
        <w:rPr>
          <w:sz w:val="18"/>
        </w:rPr>
        <w:t>Pierobon</w:t>
      </w:r>
      <w:proofErr w:type="spellEnd"/>
      <w:r w:rsidRPr="00DE1966">
        <w:rPr>
          <w:sz w:val="18"/>
        </w:rPr>
        <w:t xml:space="preserve">, M., </w:t>
      </w:r>
      <w:proofErr w:type="spellStart"/>
      <w:r w:rsidRPr="00DE1966">
        <w:rPr>
          <w:sz w:val="18"/>
        </w:rPr>
        <w:t>Wulfkuhle</w:t>
      </w:r>
      <w:proofErr w:type="spellEnd"/>
      <w:r w:rsidRPr="00DE1966">
        <w:rPr>
          <w:sz w:val="18"/>
        </w:rPr>
        <w:t xml:space="preserve">, J., Liotta, L., </w:t>
      </w:r>
      <w:proofErr w:type="spellStart"/>
      <w:r w:rsidRPr="00DE1966">
        <w:rPr>
          <w:sz w:val="18"/>
        </w:rPr>
        <w:t>Petricoin</w:t>
      </w:r>
      <w:proofErr w:type="spellEnd"/>
      <w:r w:rsidRPr="00DE1966">
        <w:rPr>
          <w:sz w:val="18"/>
        </w:rPr>
        <w:t xml:space="preserve">, E., </w:t>
      </w:r>
      <w:r w:rsidR="003E256A" w:rsidRPr="00DE1966">
        <w:rPr>
          <w:sz w:val="18"/>
        </w:rPr>
        <w:t xml:space="preserve">Oncogene </w:t>
      </w:r>
      <w:r w:rsidR="003E256A">
        <w:rPr>
          <w:sz w:val="18"/>
        </w:rPr>
        <w:t>2015,</w:t>
      </w:r>
      <w:r w:rsidRPr="00DE1966">
        <w:rPr>
          <w:sz w:val="18"/>
        </w:rPr>
        <w:t xml:space="preserve"> 34 (7), 805–814.</w:t>
      </w:r>
    </w:p>
    <w:p w:rsidR="00DE1966" w:rsidRDefault="00DE1966" w:rsidP="005324A8">
      <w:pPr>
        <w:pStyle w:val="ListParagraph"/>
        <w:numPr>
          <w:ilvl w:val="0"/>
          <w:numId w:val="2"/>
        </w:numPr>
        <w:tabs>
          <w:tab w:val="left" w:pos="709"/>
        </w:tabs>
        <w:ind w:left="426" w:right="567" w:hanging="284"/>
        <w:rPr>
          <w:sz w:val="18"/>
        </w:rPr>
      </w:pPr>
      <w:proofErr w:type="spellStart"/>
      <w:r w:rsidRPr="00DE1966">
        <w:rPr>
          <w:sz w:val="18"/>
        </w:rPr>
        <w:t>Camidge</w:t>
      </w:r>
      <w:proofErr w:type="spellEnd"/>
      <w:r w:rsidRPr="00DE1966">
        <w:rPr>
          <w:sz w:val="18"/>
        </w:rPr>
        <w:t xml:space="preserve">, D.R., </w:t>
      </w:r>
      <w:proofErr w:type="spellStart"/>
      <w:r w:rsidRPr="00DE1966">
        <w:rPr>
          <w:sz w:val="18"/>
        </w:rPr>
        <w:t>Pao</w:t>
      </w:r>
      <w:proofErr w:type="spellEnd"/>
      <w:r w:rsidRPr="00DE1966">
        <w:rPr>
          <w:sz w:val="18"/>
        </w:rPr>
        <w:t xml:space="preserve">, W., </w:t>
      </w:r>
      <w:proofErr w:type="spellStart"/>
      <w:r w:rsidRPr="00DE1966">
        <w:rPr>
          <w:sz w:val="18"/>
        </w:rPr>
        <w:t>Sequist</w:t>
      </w:r>
      <w:proofErr w:type="spellEnd"/>
      <w:r w:rsidRPr="00DE1966">
        <w:rPr>
          <w:sz w:val="18"/>
        </w:rPr>
        <w:t xml:space="preserve">, L.V., Nat. Rev. </w:t>
      </w:r>
      <w:proofErr w:type="spellStart"/>
      <w:r w:rsidRPr="00DE1966">
        <w:rPr>
          <w:sz w:val="18"/>
        </w:rPr>
        <w:t>Clin</w:t>
      </w:r>
      <w:proofErr w:type="spellEnd"/>
      <w:r w:rsidRPr="00DE1966">
        <w:rPr>
          <w:sz w:val="18"/>
        </w:rPr>
        <w:t xml:space="preserve">. </w:t>
      </w:r>
      <w:proofErr w:type="spellStart"/>
      <w:r w:rsidRPr="00DE1966">
        <w:rPr>
          <w:sz w:val="18"/>
        </w:rPr>
        <w:t>Oncol</w:t>
      </w:r>
      <w:proofErr w:type="spellEnd"/>
      <w:r w:rsidRPr="00DE1966">
        <w:rPr>
          <w:sz w:val="18"/>
        </w:rPr>
        <w:t xml:space="preserve">. </w:t>
      </w:r>
      <w:r w:rsidR="003E256A" w:rsidRPr="00DE1966">
        <w:rPr>
          <w:sz w:val="18"/>
        </w:rPr>
        <w:t>2014</w:t>
      </w:r>
      <w:r w:rsidR="003E256A">
        <w:rPr>
          <w:sz w:val="18"/>
        </w:rPr>
        <w:t>,</w:t>
      </w:r>
      <w:r w:rsidR="003E256A" w:rsidRPr="00DE1966">
        <w:rPr>
          <w:sz w:val="18"/>
        </w:rPr>
        <w:t xml:space="preserve"> </w:t>
      </w:r>
      <w:r w:rsidRPr="00DE1966">
        <w:rPr>
          <w:sz w:val="18"/>
        </w:rPr>
        <w:t>11 (8), 473–481.</w:t>
      </w:r>
    </w:p>
    <w:p w:rsidR="00DE1966" w:rsidRPr="00DE1966" w:rsidRDefault="00DE1966" w:rsidP="005324A8">
      <w:pPr>
        <w:pStyle w:val="ListParagraph"/>
        <w:numPr>
          <w:ilvl w:val="0"/>
          <w:numId w:val="2"/>
        </w:numPr>
        <w:tabs>
          <w:tab w:val="left" w:pos="709"/>
        </w:tabs>
        <w:ind w:left="426" w:right="567" w:hanging="284"/>
        <w:rPr>
          <w:sz w:val="18"/>
        </w:rPr>
      </w:pPr>
      <w:proofErr w:type="spellStart"/>
      <w:r w:rsidRPr="00DE1966">
        <w:rPr>
          <w:sz w:val="18"/>
        </w:rPr>
        <w:t>Paez</w:t>
      </w:r>
      <w:proofErr w:type="spellEnd"/>
      <w:r w:rsidRPr="00DE1966">
        <w:rPr>
          <w:sz w:val="18"/>
        </w:rPr>
        <w:t xml:space="preserve">, J.G., </w:t>
      </w:r>
      <w:proofErr w:type="spellStart"/>
      <w:r w:rsidRPr="00DE1966">
        <w:rPr>
          <w:sz w:val="18"/>
        </w:rPr>
        <w:t>Jänne</w:t>
      </w:r>
      <w:proofErr w:type="spellEnd"/>
      <w:r w:rsidRPr="00DE1966">
        <w:rPr>
          <w:sz w:val="18"/>
        </w:rPr>
        <w:t xml:space="preserve">, P.A., Lee, J.C., Tracy, S., </w:t>
      </w:r>
      <w:proofErr w:type="spellStart"/>
      <w:r w:rsidRPr="00DE1966">
        <w:rPr>
          <w:sz w:val="18"/>
        </w:rPr>
        <w:t>Greulich</w:t>
      </w:r>
      <w:proofErr w:type="spellEnd"/>
      <w:r w:rsidRPr="00DE1966">
        <w:rPr>
          <w:sz w:val="18"/>
        </w:rPr>
        <w:t xml:space="preserve">, H., Gabriel, S., Herman, P., aye, F.J., Lindeman, N., </w:t>
      </w:r>
      <w:proofErr w:type="spellStart"/>
      <w:r w:rsidRPr="00DE1966">
        <w:rPr>
          <w:sz w:val="18"/>
        </w:rPr>
        <w:t>Boggon</w:t>
      </w:r>
      <w:proofErr w:type="spellEnd"/>
      <w:r w:rsidRPr="00DE1966">
        <w:rPr>
          <w:sz w:val="18"/>
        </w:rPr>
        <w:t xml:space="preserve">, T.J., Science </w:t>
      </w:r>
      <w:r w:rsidR="003E256A" w:rsidRPr="00DE1966">
        <w:rPr>
          <w:sz w:val="18"/>
        </w:rPr>
        <w:t>2004</w:t>
      </w:r>
      <w:r w:rsidR="003E256A">
        <w:rPr>
          <w:sz w:val="18"/>
        </w:rPr>
        <w:t>,</w:t>
      </w:r>
      <w:r w:rsidR="003E256A" w:rsidRPr="00DE1966">
        <w:rPr>
          <w:sz w:val="18"/>
        </w:rPr>
        <w:t xml:space="preserve"> </w:t>
      </w:r>
      <w:r w:rsidR="003E256A">
        <w:rPr>
          <w:sz w:val="18"/>
        </w:rPr>
        <w:t>304 (5676), 1497–1500.</w:t>
      </w:r>
    </w:p>
    <w:p w:rsidR="005324A8" w:rsidRPr="005324A8" w:rsidRDefault="005324A8" w:rsidP="00DE1966">
      <w:pPr>
        <w:spacing w:before="92"/>
        <w:ind w:right="567" w:firstLine="142"/>
        <w:rPr>
          <w:rFonts w:ascii="Arial"/>
          <w:color w:val="BF5A14"/>
          <w:sz w:val="6"/>
        </w:rPr>
      </w:pPr>
    </w:p>
    <w:p w:rsidR="00DE1966" w:rsidRPr="00DE1966" w:rsidRDefault="00DE1966" w:rsidP="00DE1966">
      <w:pPr>
        <w:spacing w:before="92"/>
        <w:ind w:right="567" w:firstLine="142"/>
        <w:rPr>
          <w:rFonts w:ascii="Arial"/>
        </w:rPr>
      </w:pPr>
      <w:r w:rsidRPr="00DE1966">
        <w:rPr>
          <w:rFonts w:ascii="Arial"/>
          <w:color w:val="BF5A14"/>
        </w:rPr>
        <w:t xml:space="preserve">Biography </w:t>
      </w:r>
    </w:p>
    <w:p w:rsidR="00DE1966" w:rsidRPr="00DE1966" w:rsidRDefault="00DE1966" w:rsidP="0095509A">
      <w:pPr>
        <w:spacing w:before="41" w:line="154" w:lineRule="exact"/>
        <w:ind w:left="142" w:right="567"/>
        <w:jc w:val="both"/>
        <w:rPr>
          <w:rFonts w:ascii="Arial"/>
          <w:sz w:val="14"/>
        </w:rPr>
      </w:pPr>
      <w:r w:rsidRPr="00DE1966">
        <w:rPr>
          <w:rFonts w:ascii="Arial"/>
          <w:sz w:val="14"/>
        </w:rPr>
        <w:t xml:space="preserve">Mr. </w:t>
      </w:r>
      <w:proofErr w:type="spellStart"/>
      <w:r w:rsidRPr="00DE1966">
        <w:rPr>
          <w:rFonts w:ascii="Arial"/>
          <w:sz w:val="14"/>
        </w:rPr>
        <w:t>Mostak</w:t>
      </w:r>
      <w:proofErr w:type="spellEnd"/>
      <w:r w:rsidRPr="00DE1966">
        <w:rPr>
          <w:rFonts w:ascii="Arial"/>
          <w:sz w:val="14"/>
        </w:rPr>
        <w:t xml:space="preserve"> Ahmed is a PhD student at the Centre for Personalized Nano-medicine, AIBN, </w:t>
      </w:r>
      <w:proofErr w:type="gramStart"/>
      <w:r w:rsidRPr="00DE1966">
        <w:rPr>
          <w:rFonts w:ascii="Arial"/>
          <w:sz w:val="14"/>
        </w:rPr>
        <w:t>UQ</w:t>
      </w:r>
      <w:proofErr w:type="gramEnd"/>
      <w:r w:rsidRPr="00DE1966">
        <w:rPr>
          <w:rFonts w:ascii="Arial"/>
          <w:sz w:val="14"/>
        </w:rPr>
        <w:t>. He has completed B.Sc. (</w:t>
      </w:r>
      <w:proofErr w:type="spellStart"/>
      <w:r w:rsidRPr="00DE1966">
        <w:rPr>
          <w:rFonts w:ascii="Arial"/>
          <w:sz w:val="14"/>
        </w:rPr>
        <w:t>Honours</w:t>
      </w:r>
      <w:proofErr w:type="spellEnd"/>
      <w:r w:rsidRPr="00DE1966">
        <w:rPr>
          <w:rFonts w:ascii="Arial"/>
          <w:sz w:val="14"/>
        </w:rPr>
        <w:t xml:space="preserve"> with first class) and M.S. (with Distinction) degrees in Chemistry from Shah Jalal University of Science and Technology (SUST), Sylhet, Bangladesh. Before joining the AIBN, he served as a Scientific Officer at Bangladesh Council of Scientific and Industrial Research (BCSIR). He is currently researching </w:t>
      </w:r>
      <w:r w:rsidRPr="00DE1966">
        <w:rPr>
          <w:rFonts w:ascii="Arial"/>
          <w:sz w:val="14"/>
        </w:rPr>
        <w:t>“</w:t>
      </w:r>
      <w:r w:rsidRPr="00DE1966">
        <w:rPr>
          <w:rFonts w:ascii="Arial"/>
          <w:sz w:val="14"/>
        </w:rPr>
        <w:t>Detection Protein modifications using Protein-Gold affinity interactions</w:t>
      </w:r>
      <w:r w:rsidRPr="00DE1966">
        <w:rPr>
          <w:rFonts w:ascii="Arial"/>
          <w:sz w:val="14"/>
        </w:rPr>
        <w:t>”</w:t>
      </w:r>
      <w:r w:rsidRPr="00DE1966">
        <w:rPr>
          <w:rFonts w:ascii="Arial"/>
          <w:sz w:val="14"/>
        </w:rPr>
        <w:t xml:space="preserve">. He has seven publications in highly reputed peer reviewed journals. </w:t>
      </w:r>
    </w:p>
    <w:p w:rsidR="00C73270" w:rsidRDefault="00C73270" w:rsidP="0095509A">
      <w:pPr>
        <w:spacing w:before="41" w:line="154" w:lineRule="exact"/>
        <w:ind w:right="567" w:firstLine="142"/>
        <w:rPr>
          <w:rFonts w:ascii="Arial"/>
          <w:sz w:val="14"/>
        </w:rPr>
      </w:pPr>
    </w:p>
    <w:p w:rsidR="00DE1966" w:rsidRPr="00DE1966" w:rsidRDefault="00DE1966" w:rsidP="0095509A">
      <w:pPr>
        <w:spacing w:before="41" w:line="154" w:lineRule="exact"/>
        <w:ind w:right="567" w:firstLine="142"/>
        <w:rPr>
          <w:rFonts w:ascii="Arial"/>
          <w:sz w:val="14"/>
        </w:rPr>
      </w:pPr>
      <w:r w:rsidRPr="00DE1966">
        <w:rPr>
          <w:rFonts w:ascii="Arial"/>
          <w:sz w:val="14"/>
        </w:rPr>
        <w:t xml:space="preserve">Email: </w:t>
      </w:r>
      <w:hyperlink r:id="rId6" w:history="1">
        <w:r w:rsidRPr="00DE1966">
          <w:rPr>
            <w:rStyle w:val="Hyperlink"/>
            <w:rFonts w:ascii="Arial"/>
            <w:sz w:val="14"/>
          </w:rPr>
          <w:t>m.ahmed2@uq.edu.au</w:t>
        </w:r>
      </w:hyperlink>
    </w:p>
    <w:p w:rsidR="00FD4411" w:rsidRDefault="00FD4411" w:rsidP="00DE1966">
      <w:pPr>
        <w:tabs>
          <w:tab w:val="left" w:pos="384"/>
        </w:tabs>
        <w:ind w:left="567" w:right="567"/>
      </w:pPr>
    </w:p>
    <w:p w:rsidR="00966443" w:rsidRPr="00D60BC8" w:rsidRDefault="00966443" w:rsidP="00966443">
      <w:pPr>
        <w:tabs>
          <w:tab w:val="left" w:pos="384"/>
        </w:tabs>
        <w:ind w:left="142" w:right="567"/>
        <w:jc w:val="both"/>
        <w:rPr>
          <w:rFonts w:ascii="Minion Pro" w:hAnsi="Minion Pro"/>
          <w:sz w:val="20"/>
          <w:szCs w:val="20"/>
        </w:rPr>
      </w:pPr>
      <w:r w:rsidRPr="00D60BC8">
        <w:rPr>
          <w:rFonts w:ascii="Minion Pro" w:hAnsi="Minion Pro"/>
          <w:sz w:val="20"/>
          <w:szCs w:val="20"/>
        </w:rPr>
        <w:t>Notes: We believe that this simple method may potentially provide a clinically applicable platform for lung cancer diagnostics and therapeutics.</w:t>
      </w:r>
    </w:p>
    <w:p w:rsidR="00FD4411" w:rsidRDefault="00FD4411" w:rsidP="00DE1966">
      <w:pPr>
        <w:spacing w:line="200" w:lineRule="exact"/>
        <w:ind w:left="567" w:right="567"/>
        <w:jc w:val="both"/>
        <w:rPr>
          <w:rFonts w:ascii="Calibri" w:hAnsi="Calibri"/>
        </w:rPr>
        <w:sectPr w:rsidR="00FD4411">
          <w:type w:val="continuous"/>
          <w:pgSz w:w="11910" w:h="16840"/>
          <w:pgMar w:top="1740" w:right="600" w:bottom="840" w:left="620" w:header="720" w:footer="720" w:gutter="0"/>
          <w:cols w:num="2" w:space="720" w:equalWidth="0">
            <w:col w:w="5214" w:space="138"/>
            <w:col w:w="5338"/>
          </w:cols>
        </w:sectPr>
      </w:pPr>
      <w:bookmarkStart w:id="0" w:name="_GoBack"/>
      <w:bookmarkEnd w:id="0"/>
    </w:p>
    <w:p w:rsidR="00B77E33" w:rsidRDefault="00B77E33" w:rsidP="00966443">
      <w:pPr>
        <w:tabs>
          <w:tab w:val="left" w:pos="8080"/>
        </w:tabs>
        <w:jc w:val="both"/>
      </w:pPr>
    </w:p>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15:restartNumberingAfterBreak="0">
    <w:nsid w:val="5B5D51C7"/>
    <w:multiLevelType w:val="hybridMultilevel"/>
    <w:tmpl w:val="1ED66B3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2tTC3sLA0NzO0sDRS0lEKTi0uzszPAykwqgUA+cBY8CwAAAA="/>
  </w:docVars>
  <w:rsids>
    <w:rsidRoot w:val="00FD4411"/>
    <w:rsid w:val="000F2407"/>
    <w:rsid w:val="003E256A"/>
    <w:rsid w:val="005324A8"/>
    <w:rsid w:val="00614DBE"/>
    <w:rsid w:val="0095509A"/>
    <w:rsid w:val="00964924"/>
    <w:rsid w:val="00966443"/>
    <w:rsid w:val="00B77E33"/>
    <w:rsid w:val="00C73270"/>
    <w:rsid w:val="00D60BC8"/>
    <w:rsid w:val="00D660DD"/>
    <w:rsid w:val="00DE1966"/>
    <w:rsid w:val="00DF5C66"/>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C616F4-9FA1-4851-97EF-E341C638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FD4411"/>
    <w:rPr>
      <w:rFonts w:ascii="Arial" w:eastAsia="Arial" w:hAnsi="Arial" w:cs="Arial"/>
      <w:b/>
      <w:bCs/>
      <w:sz w:val="20"/>
      <w:szCs w:val="20"/>
      <w:lang w:val="en-US"/>
    </w:rPr>
  </w:style>
  <w:style w:type="character" w:styleId="Hyperlink">
    <w:name w:val="Hyperlink"/>
    <w:basedOn w:val="DefaultParagraphFont"/>
    <w:uiPriority w:val="99"/>
    <w:unhideWhenUsed/>
    <w:rsid w:val="00FD4411"/>
    <w:rPr>
      <w:color w:val="0000FF" w:themeColor="hyperlink"/>
      <w:u w:val="single"/>
    </w:rPr>
  </w:style>
  <w:style w:type="paragraph" w:styleId="BodyText">
    <w:name w:val="Body Text"/>
    <w:basedOn w:val="Normal"/>
    <w:link w:val="BodyTextChar"/>
    <w:uiPriority w:val="1"/>
    <w:unhideWhenUsed/>
    <w:qFormat/>
    <w:rsid w:val="00FD4411"/>
    <w:rPr>
      <w:sz w:val="18"/>
      <w:szCs w:val="18"/>
    </w:rPr>
  </w:style>
  <w:style w:type="character" w:customStyle="1" w:styleId="BodyTextChar">
    <w:name w:val="Body Text Char"/>
    <w:basedOn w:val="DefaultParagraphFont"/>
    <w:link w:val="BodyText"/>
    <w:uiPriority w:val="1"/>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 w:type="paragraph" w:styleId="Title">
    <w:name w:val="Title"/>
    <w:basedOn w:val="Normal"/>
    <w:link w:val="TitleChar"/>
    <w:uiPriority w:val="99"/>
    <w:qFormat/>
    <w:rsid w:val="00DE1966"/>
    <w:pPr>
      <w:widowControl/>
      <w:jc w:val="center"/>
    </w:pPr>
    <w:rPr>
      <w:rFonts w:ascii="Times New Roman" w:eastAsia="Times New Roman" w:hAnsi="Times New Roman" w:cs="Times New Roman"/>
      <w:b/>
      <w:sz w:val="24"/>
      <w:szCs w:val="20"/>
      <w:lang w:val="en-GB"/>
    </w:rPr>
  </w:style>
  <w:style w:type="character" w:customStyle="1" w:styleId="TitleChar">
    <w:name w:val="Title Char"/>
    <w:basedOn w:val="DefaultParagraphFont"/>
    <w:link w:val="Title"/>
    <w:uiPriority w:val="99"/>
    <w:rsid w:val="00DE1966"/>
    <w:rPr>
      <w:rFonts w:ascii="Times New Roman" w:eastAsia="Times New Roman" w:hAnsi="Times New Roman" w:cs="Times New Roman"/>
      <w:b/>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hmed2@uq.edu.a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Mostak Ahmed</cp:lastModifiedBy>
  <cp:revision>3</cp:revision>
  <dcterms:created xsi:type="dcterms:W3CDTF">2018-03-01T07:00:00Z</dcterms:created>
  <dcterms:modified xsi:type="dcterms:W3CDTF">2018-03-01T07:02:00Z</dcterms:modified>
</cp:coreProperties>
</file>