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4411" w:rsidRPr="00F833BF" w:rsidRDefault="00F833BF" w:rsidP="00FD4411">
      <w:pPr>
        <w:pStyle w:val="Heading1"/>
        <w:spacing w:before="170"/>
        <w:ind w:left="0"/>
      </w:pPr>
      <w:r>
        <w:rPr>
          <w:color w:val="337AB7"/>
        </w:rPr>
        <w:t>Cu doped Co</w:t>
      </w:r>
      <w:r w:rsidRPr="00F833BF">
        <w:rPr>
          <w:color w:val="337AB7"/>
          <w:vertAlign w:val="subscript"/>
        </w:rPr>
        <w:t>3</w:t>
      </w:r>
      <w:r>
        <w:rPr>
          <w:color w:val="337AB7"/>
        </w:rPr>
        <w:t>O</w:t>
      </w:r>
      <w:r w:rsidRPr="00F833BF">
        <w:rPr>
          <w:color w:val="337AB7"/>
          <w:vertAlign w:val="subscript"/>
        </w:rPr>
        <w:t>4</w:t>
      </w:r>
      <w:r>
        <w:rPr>
          <w:color w:val="337AB7"/>
        </w:rPr>
        <w:t xml:space="preserve"> thin film for nonenzymatic glucose detection </w:t>
      </w:r>
    </w:p>
    <w:p w:rsidR="00F833BF" w:rsidRDefault="00D46531" w:rsidP="00D46531">
      <w:pPr>
        <w:pStyle w:val="BodyText"/>
        <w:spacing w:before="73" w:line="198" w:lineRule="exact"/>
        <w:ind w:left="142" w:right="3319"/>
        <w:rPr>
          <w:rFonts w:ascii="Arial"/>
        </w:rPr>
      </w:pPr>
      <w:r>
        <w:rPr>
          <w:rFonts w:ascii="Arial"/>
        </w:rPr>
        <w:t>Mahabubur</w:t>
      </w:r>
      <w:r w:rsidR="00F833BF">
        <w:rPr>
          <w:rFonts w:ascii="Arial"/>
        </w:rPr>
        <w:t xml:space="preserve">, </w:t>
      </w:r>
      <w:r>
        <w:rPr>
          <w:rFonts w:ascii="Arial"/>
        </w:rPr>
        <w:t>Chowdhury</w:t>
      </w:r>
      <w:r w:rsidR="00FD4411">
        <w:rPr>
          <w:rFonts w:ascii="Arial"/>
        </w:rPr>
        <w:t xml:space="preserve">, </w:t>
      </w:r>
      <w:r w:rsidR="00F833BF">
        <w:rPr>
          <w:rFonts w:ascii="Arial"/>
        </w:rPr>
        <w:t>Cape Peninsula University of Technology</w:t>
      </w:r>
      <w:r w:rsidR="00FD4411">
        <w:rPr>
          <w:rFonts w:ascii="Arial"/>
        </w:rPr>
        <w:t xml:space="preserve">, </w:t>
      </w:r>
      <w:r w:rsidR="00F833BF">
        <w:rPr>
          <w:rFonts w:ascii="Arial"/>
        </w:rPr>
        <w:t>R</w:t>
      </w:r>
      <w:r w:rsidR="00FD4411">
        <w:rPr>
          <w:rFonts w:ascii="Arial"/>
        </w:rPr>
        <w:t xml:space="preserve">SA </w:t>
      </w:r>
    </w:p>
    <w:p w:rsidR="00F833BF" w:rsidRDefault="00F833BF" w:rsidP="00D46531">
      <w:pPr>
        <w:pStyle w:val="BodyText"/>
        <w:spacing w:before="73" w:line="198" w:lineRule="exact"/>
        <w:ind w:left="142" w:right="3319"/>
        <w:rPr>
          <w:rFonts w:ascii="Arial"/>
        </w:rPr>
      </w:pPr>
      <w:r>
        <w:rPr>
          <w:rFonts w:ascii="Arial"/>
        </w:rPr>
        <w:t>Micaela</w:t>
      </w:r>
      <w:r>
        <w:rPr>
          <w:rFonts w:ascii="Arial"/>
        </w:rPr>
        <w:t xml:space="preserve">, </w:t>
      </w:r>
      <w:r>
        <w:rPr>
          <w:rFonts w:ascii="Arial"/>
        </w:rPr>
        <w:t>Harry</w:t>
      </w:r>
      <w:r>
        <w:rPr>
          <w:rFonts w:ascii="Arial"/>
        </w:rPr>
        <w:t xml:space="preserve">, Cape Peninsula University of Technology, RSA </w:t>
      </w:r>
    </w:p>
    <w:p w:rsidR="00D46531" w:rsidRDefault="00D46531" w:rsidP="00D46531">
      <w:pPr>
        <w:pStyle w:val="BodyText"/>
        <w:spacing w:before="73" w:line="198" w:lineRule="exact"/>
        <w:ind w:left="142" w:right="3319"/>
        <w:suppressOverlap/>
        <w:rPr>
          <w:rFonts w:ascii="Arial"/>
        </w:rPr>
      </w:pPr>
      <w:r w:rsidRPr="00D46531">
        <w:rPr>
          <w:rFonts w:ascii="Arial"/>
        </w:rPr>
        <w:t>Franscious</w:t>
      </w:r>
      <w:r>
        <w:rPr>
          <w:rFonts w:ascii="Arial"/>
        </w:rPr>
        <w:t>,</w:t>
      </w:r>
      <w:r w:rsidRPr="00D46531">
        <w:rPr>
          <w:rFonts w:ascii="Arial"/>
        </w:rPr>
        <w:t xml:space="preserve"> Cummings</w:t>
      </w:r>
      <w:r w:rsidRPr="00D46531">
        <w:rPr>
          <w:rFonts w:ascii="Arial"/>
        </w:rPr>
        <w:t xml:space="preserve">, </w:t>
      </w:r>
      <w:r w:rsidRPr="00D46531">
        <w:rPr>
          <w:rFonts w:ascii="Arial"/>
        </w:rPr>
        <w:t xml:space="preserve">University of the Western Cape, Bellville-9535, </w:t>
      </w:r>
      <w:r>
        <w:rPr>
          <w:rFonts w:ascii="Arial"/>
        </w:rPr>
        <w:t>RSA</w:t>
      </w:r>
    </w:p>
    <w:p w:rsidR="00FD4411" w:rsidRDefault="00D46531" w:rsidP="00D46531">
      <w:pPr>
        <w:pStyle w:val="BodyText"/>
        <w:spacing w:before="73" w:line="198" w:lineRule="exact"/>
        <w:ind w:left="142" w:right="3319"/>
        <w:suppressOverlap/>
        <w:rPr>
          <w:rFonts w:ascii="Arial"/>
          <w:sz w:val="20"/>
        </w:rPr>
      </w:pPr>
      <w:r w:rsidRPr="00D46531">
        <w:rPr>
          <w:rFonts w:ascii="Arial"/>
        </w:rPr>
        <w:t>Christopher</w:t>
      </w:r>
      <w:r>
        <w:rPr>
          <w:rFonts w:ascii="Arial"/>
        </w:rPr>
        <w:t>,</w:t>
      </w:r>
      <w:r w:rsidRPr="00D46531">
        <w:rPr>
          <w:rFonts w:ascii="Arial"/>
        </w:rPr>
        <w:t xml:space="preserve"> </w:t>
      </w:r>
      <w:proofErr w:type="spellStart"/>
      <w:r w:rsidRPr="00D46531">
        <w:rPr>
          <w:rFonts w:ascii="Arial"/>
        </w:rPr>
        <w:t>Arendse</w:t>
      </w:r>
      <w:proofErr w:type="spellEnd"/>
      <w:r>
        <w:rPr>
          <w:rFonts w:ascii="Arial"/>
        </w:rPr>
        <w:t xml:space="preserve">, </w:t>
      </w:r>
      <w:r w:rsidRPr="00D46531">
        <w:rPr>
          <w:rFonts w:ascii="Arial"/>
        </w:rPr>
        <w:t xml:space="preserve">University of the Western Cape, Bellville-9535, </w:t>
      </w:r>
      <w:r>
        <w:rPr>
          <w:rFonts w:ascii="Arial"/>
        </w:rPr>
        <w:t>RSA</w:t>
      </w:r>
    </w:p>
    <w:p w:rsidR="00FD4411" w:rsidRDefault="00FD4411" w:rsidP="00FD4411">
      <w:pPr>
        <w:pStyle w:val="BodyText"/>
        <w:spacing w:before="3"/>
        <w:rPr>
          <w:rFonts w:ascii="Arial"/>
          <w:sz w:val="21"/>
        </w:rPr>
      </w:pPr>
    </w:p>
    <w:p w:rsidR="00FD4411" w:rsidRDefault="00FD4411" w:rsidP="00FD4411">
      <w:pPr>
        <w:widowControl/>
        <w:rPr>
          <w:rFonts w:ascii="Arial"/>
          <w:sz w:val="21"/>
        </w:rPr>
        <w:sectPr w:rsidR="00FD4411">
          <w:pgSz w:w="11910" w:h="16840"/>
          <w:pgMar w:top="1740" w:right="600" w:bottom="840" w:left="620" w:header="541" w:footer="642" w:gutter="0"/>
          <w:cols w:space="720"/>
        </w:sectPr>
      </w:pPr>
    </w:p>
    <w:p w:rsidR="00FD4411" w:rsidRDefault="00881A09" w:rsidP="00FD4411">
      <w:pPr>
        <w:pStyle w:val="Heading3"/>
        <w:spacing w:before="147"/>
        <w:jc w:val="both"/>
      </w:pPr>
      <w:r>
        <w:rPr>
          <w:color w:val="BF5A14"/>
        </w:rPr>
        <w:lastRenderedPageBreak/>
        <w:t>Abstract</w:t>
      </w:r>
    </w:p>
    <w:p w:rsidR="005B5671" w:rsidRPr="003D73CB" w:rsidRDefault="00DB5D95" w:rsidP="00DB5D95">
      <w:pPr>
        <w:spacing w:after="200" w:line="276" w:lineRule="auto"/>
        <w:contextualSpacing/>
        <w:jc w:val="both"/>
        <w:rPr>
          <w:rFonts w:cstheme="minorHAnsi"/>
        </w:rPr>
      </w:pPr>
      <w:r w:rsidRPr="003D73CB">
        <w:rPr>
          <w:rFonts w:cstheme="minorHAnsi"/>
        </w:rPr>
        <w:t>One of the major causes of death and disability in the world is due to diabetes mellitus. The frequent testing of physiological blood glucose levels to avoid grave emergencies is vital for the confirmation of effective diabetic treatment</w:t>
      </w:r>
      <w:r>
        <w:rPr>
          <w:rFonts w:cstheme="minorHAnsi"/>
        </w:rPr>
        <w:t xml:space="preserve">. </w:t>
      </w:r>
      <w:r w:rsidRPr="003D73CB">
        <w:rPr>
          <w:rFonts w:eastAsia="Calibri" w:cstheme="minorHAnsi"/>
        </w:rPr>
        <w:t>The current glucose sensors that are being used by diabetic patie</w:t>
      </w:r>
      <w:r>
        <w:rPr>
          <w:rFonts w:eastAsia="Calibri" w:cstheme="minorHAnsi"/>
        </w:rPr>
        <w:t xml:space="preserve">nts are glucose oxidase sensors. </w:t>
      </w:r>
      <w:r w:rsidRPr="003D73CB">
        <w:rPr>
          <w:rFonts w:eastAsia="Calibri" w:cstheme="minorHAnsi"/>
        </w:rPr>
        <w:t xml:space="preserve">However, due to problems associated with </w:t>
      </w:r>
      <w:r>
        <w:rPr>
          <w:rFonts w:eastAsia="Calibri" w:cstheme="minorHAnsi"/>
        </w:rPr>
        <w:t>fabrication of enzymatic glucose sensors,</w:t>
      </w:r>
      <w:r w:rsidRPr="003D73CB">
        <w:rPr>
          <w:rFonts w:eastAsia="Calibri" w:cstheme="minorHAnsi"/>
        </w:rPr>
        <w:t xml:space="preserve"> non-enzymatic glucose sensors ha</w:t>
      </w:r>
      <w:r>
        <w:rPr>
          <w:rFonts w:eastAsia="Calibri" w:cstheme="minorHAnsi"/>
        </w:rPr>
        <w:t xml:space="preserve">s been of main focus recently. </w:t>
      </w:r>
      <w:r w:rsidR="005B5671" w:rsidRPr="003D73CB">
        <w:rPr>
          <w:rFonts w:cstheme="minorHAnsi"/>
        </w:rPr>
        <w:t>In this study, a simple solution based deposition process has been utilized to fabricate a Cu doped Co</w:t>
      </w:r>
      <w:r w:rsidR="005B5671" w:rsidRPr="003D73CB">
        <w:rPr>
          <w:rFonts w:cstheme="minorHAnsi"/>
          <w:vertAlign w:val="subscript"/>
        </w:rPr>
        <w:t>3</w:t>
      </w:r>
      <w:r w:rsidR="005B5671" w:rsidRPr="003D73CB">
        <w:rPr>
          <w:rFonts w:cstheme="minorHAnsi"/>
        </w:rPr>
        <w:t>O</w:t>
      </w:r>
      <w:r w:rsidR="005B5671" w:rsidRPr="003D73CB">
        <w:rPr>
          <w:rFonts w:cstheme="minorHAnsi"/>
          <w:vertAlign w:val="subscript"/>
        </w:rPr>
        <w:t>4</w:t>
      </w:r>
      <w:r w:rsidR="005B5671" w:rsidRPr="003D73CB">
        <w:rPr>
          <w:rFonts w:cstheme="minorHAnsi"/>
        </w:rPr>
        <w:t xml:space="preserve"> electrode for non-enzymatic glucose detection. The substitution of Cu into the Co</w:t>
      </w:r>
      <w:r w:rsidR="005B5671" w:rsidRPr="003D73CB">
        <w:rPr>
          <w:rFonts w:cstheme="minorHAnsi"/>
          <w:vertAlign w:val="subscript"/>
        </w:rPr>
        <w:t>3</w:t>
      </w:r>
      <w:r w:rsidR="005B5671" w:rsidRPr="003D73CB">
        <w:rPr>
          <w:rFonts w:cstheme="minorHAnsi"/>
        </w:rPr>
        <w:t>O</w:t>
      </w:r>
      <w:r w:rsidR="005B5671" w:rsidRPr="003D73CB">
        <w:rPr>
          <w:rFonts w:cstheme="minorHAnsi"/>
          <w:vertAlign w:val="subscript"/>
        </w:rPr>
        <w:t>4</w:t>
      </w:r>
      <w:r w:rsidR="005B5671" w:rsidRPr="003D73CB">
        <w:rPr>
          <w:rFonts w:cstheme="minorHAnsi"/>
        </w:rPr>
        <w:t xml:space="preserve"> host lattice resulted in an enhanced electrochemical performance compared to the pristine Co</w:t>
      </w:r>
      <w:r w:rsidR="005B5671" w:rsidRPr="003D73CB">
        <w:rPr>
          <w:rFonts w:cstheme="minorHAnsi"/>
          <w:vertAlign w:val="subscript"/>
        </w:rPr>
        <w:t>3</w:t>
      </w:r>
      <w:r w:rsidR="005B5671" w:rsidRPr="003D73CB">
        <w:rPr>
          <w:rFonts w:cstheme="minorHAnsi"/>
        </w:rPr>
        <w:t>O</w:t>
      </w:r>
      <w:r w:rsidR="005B5671" w:rsidRPr="003D73CB">
        <w:rPr>
          <w:rFonts w:cstheme="minorHAnsi"/>
          <w:vertAlign w:val="subscript"/>
        </w:rPr>
        <w:t>4</w:t>
      </w:r>
      <w:r>
        <w:rPr>
          <w:rFonts w:cstheme="minorHAnsi"/>
          <w:vertAlign w:val="subscript"/>
        </w:rPr>
        <w:t xml:space="preserve"> </w:t>
      </w:r>
      <w:r>
        <w:rPr>
          <w:rFonts w:cstheme="minorHAnsi"/>
        </w:rPr>
        <w:t>as was measured from the Hall effect measurement</w:t>
      </w:r>
      <w:r w:rsidR="005B5671" w:rsidRPr="003D73CB">
        <w:rPr>
          <w:rFonts w:cstheme="minorHAnsi"/>
        </w:rPr>
        <w:t xml:space="preserve">. The sensor exhibited two distinctive linear ranges </w:t>
      </w:r>
      <w:r w:rsidR="000F3BFA">
        <w:rPr>
          <w:rFonts w:cstheme="minorHAnsi"/>
        </w:rPr>
        <w:t xml:space="preserve">covering </w:t>
      </w:r>
      <w:proofErr w:type="spellStart"/>
      <w:r w:rsidR="000F3BFA">
        <w:rPr>
          <w:rFonts w:cstheme="minorHAnsi"/>
        </w:rPr>
        <w:t>upto</w:t>
      </w:r>
      <w:proofErr w:type="spellEnd"/>
      <w:r w:rsidR="000F3BFA">
        <w:rPr>
          <w:rFonts w:cstheme="minorHAnsi"/>
        </w:rPr>
        <w:t xml:space="preserve"> </w:t>
      </w:r>
      <w:r w:rsidR="005B5671" w:rsidRPr="003D73CB">
        <w:rPr>
          <w:rFonts w:cstheme="minorHAnsi"/>
        </w:rPr>
        <w:t>7.6 mM at an applied potential of + 0.65 V vs. Ag/</w:t>
      </w:r>
      <w:proofErr w:type="spellStart"/>
      <w:r w:rsidR="005B5671" w:rsidRPr="003D73CB">
        <w:rPr>
          <w:rFonts w:cstheme="minorHAnsi"/>
        </w:rPr>
        <w:t>AgCl</w:t>
      </w:r>
      <w:proofErr w:type="spellEnd"/>
      <w:r w:rsidR="005B5671" w:rsidRPr="003D73CB">
        <w:rPr>
          <w:rFonts w:cstheme="minorHAnsi"/>
        </w:rPr>
        <w:t xml:space="preserve"> in 0.1 M </w:t>
      </w:r>
      <w:proofErr w:type="spellStart"/>
      <w:r w:rsidR="005B5671" w:rsidRPr="003D73CB">
        <w:rPr>
          <w:rFonts w:cstheme="minorHAnsi"/>
        </w:rPr>
        <w:t>NaOH</w:t>
      </w:r>
      <w:proofErr w:type="spellEnd"/>
      <w:r w:rsidR="005B5671" w:rsidRPr="003D73CB">
        <w:rPr>
          <w:rFonts w:cstheme="minorHAnsi"/>
        </w:rPr>
        <w:t xml:space="preserve"> solution. The sensor depicted good repeatability (R.S.D of &lt;10%), stability and reproducibility (R.S.D of &lt;10%). The sensitivity of the sensor was determined to be 1333 </w:t>
      </w:r>
      <w:proofErr w:type="spellStart"/>
      <w:r w:rsidR="005B5671" w:rsidRPr="003D73CB">
        <w:rPr>
          <w:rFonts w:cstheme="minorHAnsi"/>
        </w:rPr>
        <w:t>uA</w:t>
      </w:r>
      <w:proofErr w:type="spellEnd"/>
      <w:r w:rsidR="005B5671" w:rsidRPr="003D73CB">
        <w:rPr>
          <w:rFonts w:cstheme="minorHAnsi"/>
        </w:rPr>
        <w:t>/cm</w:t>
      </w:r>
      <w:r w:rsidR="005B5671" w:rsidRPr="003D73CB">
        <w:rPr>
          <w:rFonts w:cstheme="minorHAnsi"/>
          <w:vertAlign w:val="superscript"/>
        </w:rPr>
        <w:t xml:space="preserve">2 </w:t>
      </w:r>
      <w:r w:rsidR="005B5671" w:rsidRPr="003D73CB">
        <w:rPr>
          <w:rFonts w:cstheme="minorHAnsi"/>
        </w:rPr>
        <w:t xml:space="preserve">mM (lower concentration range) and 141 </w:t>
      </w:r>
      <w:proofErr w:type="spellStart"/>
      <w:r w:rsidR="005B5671" w:rsidRPr="003D73CB">
        <w:rPr>
          <w:rFonts w:cstheme="minorHAnsi"/>
        </w:rPr>
        <w:t>uA</w:t>
      </w:r>
      <w:proofErr w:type="spellEnd"/>
      <w:r w:rsidR="005B5671" w:rsidRPr="003D73CB">
        <w:rPr>
          <w:rFonts w:cstheme="minorHAnsi"/>
        </w:rPr>
        <w:t>/cm</w:t>
      </w:r>
      <w:r w:rsidR="005B5671" w:rsidRPr="003D73CB">
        <w:rPr>
          <w:rFonts w:cstheme="minorHAnsi"/>
          <w:vertAlign w:val="superscript"/>
        </w:rPr>
        <w:t xml:space="preserve">2 </w:t>
      </w:r>
      <w:r w:rsidR="005B5671" w:rsidRPr="003D73CB">
        <w:rPr>
          <w:rFonts w:cstheme="minorHAnsi"/>
        </w:rPr>
        <w:t xml:space="preserve">mM (upper concentration range), with a lower detection limit of 0.15 </w:t>
      </w:r>
      <w:proofErr w:type="spellStart"/>
      <w:r w:rsidR="005B5671" w:rsidRPr="003D73CB">
        <w:rPr>
          <w:rFonts w:cstheme="minorHAnsi"/>
        </w:rPr>
        <w:t>uM</w:t>
      </w:r>
      <w:proofErr w:type="spellEnd"/>
      <w:r w:rsidR="005B5671" w:rsidRPr="003D73CB">
        <w:rPr>
          <w:rFonts w:cstheme="minorHAnsi"/>
        </w:rPr>
        <w:t xml:space="preserve"> (S/N=3). The as prepared electrode showed a response time of &lt;10 s and was very selective towards glucose in the presence of various interference species</w:t>
      </w:r>
      <w:r w:rsidR="00860994">
        <w:rPr>
          <w:rFonts w:cstheme="minorHAnsi"/>
        </w:rPr>
        <w:t xml:space="preserve"> (Figure 1)</w:t>
      </w:r>
      <w:r w:rsidR="005B5671" w:rsidRPr="003D73CB">
        <w:rPr>
          <w:rFonts w:cstheme="minorHAnsi"/>
        </w:rPr>
        <w:t xml:space="preserve">. The ease of fabrication, good electrochemical activity and good inter and intra electrode reproducibility makes this electrode a promising candidate for non-enzymatic glucose detection. </w:t>
      </w:r>
    </w:p>
    <w:p w:rsidR="00FD4411" w:rsidRDefault="00FD4411" w:rsidP="00FD4411">
      <w:pPr>
        <w:pStyle w:val="Heading3"/>
        <w:spacing w:before="74"/>
      </w:pPr>
      <w:r>
        <w:rPr>
          <w:bCs w:val="0"/>
        </w:rPr>
        <w:br w:type="column"/>
      </w:r>
    </w:p>
    <w:p w:rsidR="00FD4411" w:rsidRDefault="00FD4411" w:rsidP="00FD4411">
      <w:pPr>
        <w:pStyle w:val="BodyText"/>
        <w:spacing w:before="2"/>
        <w:rPr>
          <w:rFonts w:ascii="Arial"/>
          <w:b/>
          <w:sz w:val="16"/>
        </w:rPr>
      </w:pPr>
    </w:p>
    <w:p w:rsidR="005679BB" w:rsidRDefault="005679BB" w:rsidP="00860994">
      <w:pPr>
        <w:jc w:val="center"/>
        <w:rPr>
          <w:rFonts w:ascii="Arial"/>
          <w:b/>
          <w:color w:val="BF5A14"/>
          <w:sz w:val="20"/>
        </w:rPr>
      </w:pPr>
      <w:r w:rsidRPr="005679BB">
        <w:drawing>
          <wp:inline distT="0" distB="0" distL="0" distR="0">
            <wp:extent cx="2903855" cy="170141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11120" cy="1705670"/>
                    </a:xfrm>
                    <a:prstGeom prst="rect">
                      <a:avLst/>
                    </a:prstGeom>
                    <a:noFill/>
                    <a:ln>
                      <a:noFill/>
                    </a:ln>
                  </pic:spPr>
                </pic:pic>
              </a:graphicData>
            </a:graphic>
          </wp:inline>
        </w:drawing>
      </w:r>
    </w:p>
    <w:p w:rsidR="005679BB" w:rsidRPr="005679BB" w:rsidRDefault="005679BB" w:rsidP="005679BB">
      <w:pPr>
        <w:jc w:val="both"/>
        <w:rPr>
          <w:rFonts w:eastAsia="Calibri" w:cstheme="minorHAnsi"/>
        </w:rPr>
      </w:pPr>
      <w:r w:rsidRPr="005679BB">
        <w:rPr>
          <w:rFonts w:eastAsia="Calibri" w:cstheme="minorHAnsi"/>
        </w:rPr>
        <w:t>Figure 1: Amperometric response of the sensor in the presence of glucose and other interfering species</w:t>
      </w:r>
    </w:p>
    <w:p w:rsidR="00FD4411" w:rsidRDefault="005679BB" w:rsidP="005679BB">
      <w:pPr>
        <w:rPr>
          <w:rFonts w:ascii="Arial"/>
          <w:b/>
          <w:sz w:val="20"/>
        </w:rPr>
      </w:pPr>
      <w:r>
        <w:rPr>
          <w:rFonts w:ascii="Arial"/>
          <w:b/>
          <w:color w:val="BF5A14"/>
          <w:sz w:val="20"/>
        </w:rPr>
        <w:t xml:space="preserve"> </w:t>
      </w:r>
      <w:r w:rsidR="00FD4411">
        <w:rPr>
          <w:rFonts w:ascii="Arial"/>
          <w:b/>
          <w:color w:val="BF5A14"/>
          <w:sz w:val="20"/>
        </w:rPr>
        <w:br/>
        <w:t>Recent Publications (minimum 5)</w:t>
      </w:r>
    </w:p>
    <w:p w:rsidR="00860994" w:rsidRPr="00860994" w:rsidRDefault="00860994" w:rsidP="00860994">
      <w:pPr>
        <w:numPr>
          <w:ilvl w:val="0"/>
          <w:numId w:val="2"/>
        </w:numPr>
        <w:tabs>
          <w:tab w:val="left" w:pos="384"/>
        </w:tabs>
        <w:ind w:right="117"/>
        <w:rPr>
          <w:rFonts w:ascii="Calibri" w:eastAsia="Calibri" w:hAnsi="Calibri" w:cs="Calibri"/>
          <w:sz w:val="18"/>
          <w:lang w:val="en-ZA"/>
        </w:rPr>
      </w:pPr>
      <w:r w:rsidRPr="00860994">
        <w:rPr>
          <w:rFonts w:ascii="Calibri" w:eastAsia="Calibri" w:hAnsi="Calibri" w:cs="Calibri"/>
          <w:sz w:val="18"/>
          <w:lang w:val="en-ZA"/>
        </w:rPr>
        <w:t>T. Gota, M. Chowdhury*, T. Ojumu, Non-enzymatic Fructose Sensor Based on Co</w:t>
      </w:r>
      <w:r w:rsidRPr="00860994">
        <w:rPr>
          <w:rFonts w:ascii="Calibri" w:eastAsia="Calibri" w:hAnsi="Calibri" w:cs="Calibri"/>
          <w:sz w:val="18"/>
          <w:vertAlign w:val="subscript"/>
          <w:lang w:val="en-ZA"/>
        </w:rPr>
        <w:t>3</w:t>
      </w:r>
      <w:r w:rsidRPr="00860994">
        <w:rPr>
          <w:rFonts w:ascii="Calibri" w:eastAsia="Calibri" w:hAnsi="Calibri" w:cs="Calibri"/>
          <w:sz w:val="18"/>
          <w:lang w:val="en-ZA"/>
        </w:rPr>
        <w:t>O</w:t>
      </w:r>
      <w:r w:rsidRPr="00860994">
        <w:rPr>
          <w:rFonts w:ascii="Calibri" w:eastAsia="Calibri" w:hAnsi="Calibri" w:cs="Calibri"/>
          <w:sz w:val="18"/>
          <w:vertAlign w:val="subscript"/>
          <w:lang w:val="en-ZA"/>
        </w:rPr>
        <w:t>4</w:t>
      </w:r>
      <w:r w:rsidRPr="00860994">
        <w:rPr>
          <w:rFonts w:ascii="Calibri" w:eastAsia="Calibri" w:hAnsi="Calibri" w:cs="Calibri"/>
          <w:sz w:val="18"/>
          <w:lang w:val="en-ZA"/>
        </w:rPr>
        <w:t xml:space="preserve"> Thin Film, </w:t>
      </w:r>
      <w:proofErr w:type="spellStart"/>
      <w:r w:rsidRPr="00860994">
        <w:rPr>
          <w:rFonts w:ascii="Calibri" w:eastAsia="Calibri" w:hAnsi="Calibri" w:cs="Calibri"/>
          <w:sz w:val="18"/>
          <w:lang w:val="en-ZA"/>
        </w:rPr>
        <w:t>Electroanalysis</w:t>
      </w:r>
      <w:proofErr w:type="spellEnd"/>
      <w:r w:rsidRPr="00860994">
        <w:rPr>
          <w:rFonts w:ascii="Calibri" w:eastAsia="Calibri" w:hAnsi="Calibri" w:cs="Calibri"/>
          <w:sz w:val="18"/>
          <w:lang w:val="en-ZA"/>
        </w:rPr>
        <w:t>, 29 (2017) 2855-2862.</w:t>
      </w:r>
    </w:p>
    <w:p w:rsidR="00860994" w:rsidRPr="00860994" w:rsidRDefault="00860994" w:rsidP="00860994">
      <w:pPr>
        <w:numPr>
          <w:ilvl w:val="0"/>
          <w:numId w:val="2"/>
        </w:numPr>
        <w:tabs>
          <w:tab w:val="left" w:pos="384"/>
        </w:tabs>
        <w:ind w:right="117"/>
        <w:rPr>
          <w:rFonts w:ascii="Calibri" w:eastAsia="Calibri" w:hAnsi="Calibri" w:cs="Calibri"/>
          <w:sz w:val="18"/>
          <w:lang w:val="en-ZA"/>
        </w:rPr>
      </w:pPr>
      <w:r w:rsidRPr="00860994">
        <w:rPr>
          <w:rFonts w:ascii="Calibri" w:eastAsia="Calibri" w:hAnsi="Calibri" w:cs="Calibri"/>
          <w:sz w:val="18"/>
          <w:lang w:val="en-ZA"/>
        </w:rPr>
        <w:t xml:space="preserve">Chowdhury, M*., Ossinga, C., Cummings, F., Chamier, J. and Kebede, M. (2017), Novel Sn Doped Co3O4 Thin Film for Nonenzymatic Glucose Bio-Sensor and Fuel Cell. </w:t>
      </w:r>
      <w:proofErr w:type="spellStart"/>
      <w:r w:rsidRPr="00860994">
        <w:rPr>
          <w:rFonts w:ascii="Calibri" w:eastAsia="Calibri" w:hAnsi="Calibri" w:cs="Calibri"/>
          <w:sz w:val="18"/>
          <w:lang w:val="en-ZA"/>
        </w:rPr>
        <w:t>Electroanalysis</w:t>
      </w:r>
      <w:proofErr w:type="spellEnd"/>
      <w:r w:rsidRPr="00860994">
        <w:rPr>
          <w:rFonts w:ascii="Calibri" w:eastAsia="Calibri" w:hAnsi="Calibri" w:cs="Calibri"/>
          <w:sz w:val="18"/>
          <w:lang w:val="en-ZA"/>
        </w:rPr>
        <w:t>. doi:10.1002/elan.201700184</w:t>
      </w:r>
    </w:p>
    <w:p w:rsidR="00860994" w:rsidRPr="00860994" w:rsidRDefault="00860994" w:rsidP="00860994">
      <w:pPr>
        <w:numPr>
          <w:ilvl w:val="0"/>
          <w:numId w:val="2"/>
        </w:numPr>
        <w:tabs>
          <w:tab w:val="left" w:pos="384"/>
        </w:tabs>
        <w:ind w:right="117"/>
        <w:rPr>
          <w:rFonts w:ascii="Calibri" w:eastAsia="Calibri" w:hAnsi="Calibri" w:cs="Calibri"/>
          <w:sz w:val="18"/>
          <w:lang w:val="en-ZA"/>
        </w:rPr>
      </w:pPr>
      <w:r w:rsidRPr="00860994">
        <w:rPr>
          <w:rFonts w:ascii="Calibri" w:eastAsia="Calibri" w:hAnsi="Calibri" w:cs="Calibri"/>
          <w:sz w:val="18"/>
          <w:lang w:val="en-ZA"/>
        </w:rPr>
        <w:t xml:space="preserve">Chowdhury, M. R*., Fransciuos Cummings., Mesfin Kebede., Fester, V. </w:t>
      </w:r>
      <w:proofErr w:type="gramStart"/>
      <w:r w:rsidRPr="00860994">
        <w:rPr>
          <w:rFonts w:ascii="Calibri" w:eastAsia="Calibri" w:hAnsi="Calibri" w:cs="Calibri"/>
          <w:sz w:val="18"/>
          <w:lang w:val="en-ZA"/>
        </w:rPr>
        <w:t>G.(</w:t>
      </w:r>
      <w:proofErr w:type="gramEnd"/>
      <w:r w:rsidRPr="00860994">
        <w:rPr>
          <w:rFonts w:ascii="Calibri" w:eastAsia="Calibri" w:hAnsi="Calibri" w:cs="Calibri"/>
          <w:sz w:val="18"/>
          <w:lang w:val="en-ZA"/>
        </w:rPr>
        <w:t xml:space="preserve">2017). </w:t>
      </w:r>
      <w:r w:rsidRPr="00860994">
        <w:rPr>
          <w:rFonts w:ascii="Calibri" w:eastAsia="Calibri" w:hAnsi="Calibri" w:cs="Calibri"/>
          <w:sz w:val="18"/>
        </w:rPr>
        <w:t>Binder less solution processed Zn doped Co</w:t>
      </w:r>
      <w:r w:rsidRPr="00860994">
        <w:rPr>
          <w:rFonts w:ascii="Calibri" w:eastAsia="Calibri" w:hAnsi="Calibri" w:cs="Calibri"/>
          <w:sz w:val="18"/>
          <w:vertAlign w:val="subscript"/>
        </w:rPr>
        <w:t>3</w:t>
      </w:r>
      <w:r w:rsidRPr="00860994">
        <w:rPr>
          <w:rFonts w:ascii="Calibri" w:eastAsia="Calibri" w:hAnsi="Calibri" w:cs="Calibri"/>
          <w:sz w:val="18"/>
        </w:rPr>
        <w:t>O</w:t>
      </w:r>
      <w:r w:rsidRPr="00860994">
        <w:rPr>
          <w:rFonts w:ascii="Calibri" w:eastAsia="Calibri" w:hAnsi="Calibri" w:cs="Calibri"/>
          <w:sz w:val="18"/>
          <w:vertAlign w:val="subscript"/>
        </w:rPr>
        <w:t>4</w:t>
      </w:r>
      <w:r w:rsidRPr="00860994">
        <w:rPr>
          <w:rFonts w:ascii="Calibri" w:eastAsia="Calibri" w:hAnsi="Calibri" w:cs="Calibri"/>
          <w:sz w:val="18"/>
        </w:rPr>
        <w:t xml:space="preserve"> film on FTO for rapid and selective non-enzymatic glucose detection.</w:t>
      </w:r>
      <w:r w:rsidRPr="00860994">
        <w:rPr>
          <w:rFonts w:ascii="Calibri" w:eastAsia="Calibri" w:hAnsi="Calibri" w:cs="Calibri"/>
          <w:sz w:val="18"/>
          <w:lang w:val="en-ZA"/>
        </w:rPr>
        <w:t xml:space="preserve"> </w:t>
      </w:r>
      <w:proofErr w:type="spellStart"/>
      <w:r w:rsidRPr="00860994">
        <w:rPr>
          <w:rFonts w:ascii="Calibri" w:eastAsia="Calibri" w:hAnsi="Calibri" w:cs="Calibri"/>
          <w:sz w:val="18"/>
        </w:rPr>
        <w:t>Electroanalysis</w:t>
      </w:r>
      <w:proofErr w:type="spellEnd"/>
      <w:r w:rsidRPr="00860994">
        <w:rPr>
          <w:rFonts w:ascii="Calibri" w:eastAsia="Calibri" w:hAnsi="Calibri" w:cs="Calibri"/>
          <w:sz w:val="18"/>
        </w:rPr>
        <w:t xml:space="preserve">, 29, 578-586. </w:t>
      </w:r>
    </w:p>
    <w:p w:rsidR="00860994" w:rsidRPr="00860994" w:rsidRDefault="00860994" w:rsidP="00860994">
      <w:pPr>
        <w:numPr>
          <w:ilvl w:val="0"/>
          <w:numId w:val="2"/>
        </w:numPr>
        <w:tabs>
          <w:tab w:val="left" w:pos="384"/>
        </w:tabs>
        <w:ind w:right="117"/>
        <w:rPr>
          <w:rFonts w:ascii="Calibri" w:eastAsia="Calibri" w:hAnsi="Calibri" w:cs="Calibri"/>
          <w:sz w:val="18"/>
          <w:lang w:val="en-ZA"/>
        </w:rPr>
      </w:pPr>
      <w:r w:rsidRPr="00860994">
        <w:rPr>
          <w:rFonts w:ascii="Calibri" w:eastAsia="Calibri" w:hAnsi="Calibri" w:cs="Calibri"/>
          <w:sz w:val="18"/>
          <w:lang w:val="en-ZA"/>
        </w:rPr>
        <w:t xml:space="preserve">Chowdhury, M.R*., Shoko, S., Cummings, F., Fester, V&amp; Ojumu, T., (2017). </w:t>
      </w:r>
      <w:hyperlink r:id="rId6" w:history="1">
        <w:r w:rsidRPr="00860994">
          <w:rPr>
            <w:rStyle w:val="Hyperlink"/>
            <w:rFonts w:ascii="Calibri" w:eastAsia="Calibri" w:hAnsi="Calibri" w:cs="Calibri"/>
            <w:color w:val="000000" w:themeColor="text1"/>
            <w:sz w:val="18"/>
            <w:u w:val="none"/>
            <w:lang w:val="en-ZA"/>
          </w:rPr>
          <w:t xml:space="preserve">Charge transfer between biogenic </w:t>
        </w:r>
        <w:proofErr w:type="spellStart"/>
        <w:r w:rsidRPr="00860994">
          <w:rPr>
            <w:rStyle w:val="Hyperlink"/>
            <w:rFonts w:ascii="Calibri" w:eastAsia="Calibri" w:hAnsi="Calibri" w:cs="Calibri"/>
            <w:color w:val="000000" w:themeColor="text1"/>
            <w:sz w:val="18"/>
            <w:u w:val="none"/>
            <w:lang w:val="en-ZA"/>
          </w:rPr>
          <w:t>jarosite</w:t>
        </w:r>
        <w:proofErr w:type="spellEnd"/>
        <w:r w:rsidRPr="00860994">
          <w:rPr>
            <w:rStyle w:val="Hyperlink"/>
            <w:rFonts w:ascii="Calibri" w:eastAsia="Calibri" w:hAnsi="Calibri" w:cs="Calibri"/>
            <w:color w:val="000000" w:themeColor="text1"/>
            <w:sz w:val="18"/>
            <w:u w:val="none"/>
            <w:lang w:val="en-ZA"/>
          </w:rPr>
          <w:t xml:space="preserve"> derived Fe</w:t>
        </w:r>
        <w:r w:rsidRPr="00860994">
          <w:rPr>
            <w:rStyle w:val="Hyperlink"/>
            <w:rFonts w:ascii="Calibri" w:eastAsia="Calibri" w:hAnsi="Calibri" w:cs="Calibri"/>
            <w:color w:val="000000" w:themeColor="text1"/>
            <w:sz w:val="18"/>
            <w:u w:val="none"/>
            <w:vertAlign w:val="superscript"/>
            <w:lang w:val="en-ZA"/>
          </w:rPr>
          <w:t>3+</w:t>
        </w:r>
        <w:r w:rsidRPr="00860994">
          <w:rPr>
            <w:rStyle w:val="Hyperlink"/>
            <w:rFonts w:ascii="Calibri" w:eastAsia="Calibri" w:hAnsi="Calibri" w:cs="Calibri"/>
            <w:color w:val="000000" w:themeColor="text1"/>
            <w:sz w:val="18"/>
            <w:u w:val="none"/>
            <w:lang w:val="en-ZA"/>
          </w:rPr>
          <w:t xml:space="preserve"> and TiO</w:t>
        </w:r>
        <w:r w:rsidRPr="00860994">
          <w:rPr>
            <w:rStyle w:val="Hyperlink"/>
            <w:rFonts w:ascii="Calibri" w:eastAsia="Calibri" w:hAnsi="Calibri" w:cs="Calibri"/>
            <w:color w:val="000000" w:themeColor="text1"/>
            <w:sz w:val="18"/>
            <w:u w:val="none"/>
            <w:vertAlign w:val="subscript"/>
            <w:lang w:val="en-ZA"/>
          </w:rPr>
          <w:t>2</w:t>
        </w:r>
        <w:r w:rsidRPr="00860994">
          <w:rPr>
            <w:rStyle w:val="Hyperlink"/>
            <w:rFonts w:ascii="Calibri" w:eastAsia="Calibri" w:hAnsi="Calibri" w:cs="Calibri"/>
            <w:color w:val="000000" w:themeColor="text1"/>
            <w:sz w:val="18"/>
            <w:u w:val="none"/>
            <w:lang w:val="en-ZA"/>
          </w:rPr>
          <w:t xml:space="preserve"> enhances visible light photocatalytic activity of TiO</w:t>
        </w:r>
        <w:r w:rsidRPr="00860994">
          <w:rPr>
            <w:rStyle w:val="Hyperlink"/>
            <w:rFonts w:ascii="Calibri" w:eastAsia="Calibri" w:hAnsi="Calibri" w:cs="Calibri"/>
            <w:color w:val="000000" w:themeColor="text1"/>
            <w:sz w:val="18"/>
            <w:u w:val="none"/>
            <w:vertAlign w:val="subscript"/>
            <w:lang w:val="en-ZA"/>
          </w:rPr>
          <w:t>2</w:t>
        </w:r>
      </w:hyperlink>
      <w:r w:rsidRPr="00860994">
        <w:rPr>
          <w:rFonts w:ascii="Calibri" w:eastAsia="Calibri" w:hAnsi="Calibri" w:cs="Calibri"/>
          <w:sz w:val="18"/>
          <w:vertAlign w:val="subscript"/>
          <w:lang w:val="en-ZA"/>
        </w:rPr>
        <w:t xml:space="preserve">. </w:t>
      </w:r>
      <w:r w:rsidRPr="00860994">
        <w:rPr>
          <w:rFonts w:ascii="Calibri" w:eastAsia="Calibri" w:hAnsi="Calibri" w:cs="Calibri"/>
          <w:sz w:val="18"/>
          <w:lang w:val="en-ZA"/>
        </w:rPr>
        <w:t xml:space="preserve">Journal of Environmental Sciences, 54, 256-267. </w:t>
      </w:r>
    </w:p>
    <w:p w:rsidR="00FD4411" w:rsidRDefault="00860994" w:rsidP="005112A3">
      <w:pPr>
        <w:numPr>
          <w:ilvl w:val="0"/>
          <w:numId w:val="2"/>
        </w:numPr>
        <w:tabs>
          <w:tab w:val="left" w:pos="384"/>
        </w:tabs>
        <w:ind w:right="117"/>
      </w:pPr>
      <w:r w:rsidRPr="00860994">
        <w:rPr>
          <w:rFonts w:ascii="Calibri" w:eastAsia="Calibri" w:hAnsi="Calibri" w:cs="Calibri"/>
          <w:sz w:val="18"/>
          <w:lang w:val="en-ZA"/>
        </w:rPr>
        <w:t xml:space="preserve">Chowdhury, M. R*., </w:t>
      </w:r>
      <w:proofErr w:type="spellStart"/>
      <w:r w:rsidRPr="00860994">
        <w:rPr>
          <w:rFonts w:ascii="Calibri" w:eastAsia="Calibri" w:hAnsi="Calibri" w:cs="Calibri"/>
          <w:sz w:val="18"/>
          <w:lang w:val="en-ZA"/>
        </w:rPr>
        <w:t>Oghenochuko</w:t>
      </w:r>
      <w:proofErr w:type="spellEnd"/>
      <w:r w:rsidRPr="00860994">
        <w:rPr>
          <w:rFonts w:ascii="Calibri" w:eastAsia="Calibri" w:hAnsi="Calibri" w:cs="Calibri"/>
          <w:sz w:val="18"/>
          <w:lang w:val="en-ZA"/>
        </w:rPr>
        <w:t xml:space="preserve"> </w:t>
      </w:r>
      <w:proofErr w:type="spellStart"/>
      <w:r w:rsidRPr="00860994">
        <w:rPr>
          <w:rFonts w:ascii="Calibri" w:eastAsia="Calibri" w:hAnsi="Calibri" w:cs="Calibri"/>
          <w:sz w:val="18"/>
          <w:lang w:val="en-ZA"/>
        </w:rPr>
        <w:t>Oputu</w:t>
      </w:r>
      <w:proofErr w:type="spellEnd"/>
      <w:r w:rsidRPr="00860994">
        <w:rPr>
          <w:rFonts w:ascii="Calibri" w:eastAsia="Calibri" w:hAnsi="Calibri" w:cs="Calibri"/>
          <w:sz w:val="18"/>
          <w:lang w:val="en-ZA"/>
        </w:rPr>
        <w:t xml:space="preserve">., Mesfin Kebede., Fransciuos Cummings., Oscar Cespedes., </w:t>
      </w:r>
      <w:proofErr w:type="spellStart"/>
      <w:r w:rsidRPr="00860994">
        <w:rPr>
          <w:rFonts w:ascii="Calibri" w:eastAsia="Calibri" w:hAnsi="Calibri" w:cs="Calibri"/>
          <w:sz w:val="18"/>
          <w:lang w:val="en-ZA"/>
        </w:rPr>
        <w:t>Aliwa</w:t>
      </w:r>
      <w:proofErr w:type="spellEnd"/>
      <w:r w:rsidRPr="00860994">
        <w:rPr>
          <w:rFonts w:ascii="Calibri" w:eastAsia="Calibri" w:hAnsi="Calibri" w:cs="Calibri"/>
          <w:sz w:val="18"/>
          <w:lang w:val="en-ZA"/>
        </w:rPr>
        <w:t xml:space="preserve"> </w:t>
      </w:r>
      <w:proofErr w:type="spellStart"/>
      <w:r w:rsidRPr="00860994">
        <w:rPr>
          <w:rFonts w:ascii="Calibri" w:eastAsia="Calibri" w:hAnsi="Calibri" w:cs="Calibri"/>
          <w:sz w:val="18"/>
          <w:lang w:val="en-ZA"/>
        </w:rPr>
        <w:t>Maelsand</w:t>
      </w:r>
      <w:proofErr w:type="spellEnd"/>
      <w:r w:rsidRPr="00860994">
        <w:rPr>
          <w:rFonts w:ascii="Calibri" w:eastAsia="Calibri" w:hAnsi="Calibri" w:cs="Calibri"/>
          <w:sz w:val="18"/>
          <w:lang w:val="en-ZA"/>
        </w:rPr>
        <w:t xml:space="preserve">., Fester, V. </w:t>
      </w:r>
      <w:proofErr w:type="gramStart"/>
      <w:r w:rsidRPr="00860994">
        <w:rPr>
          <w:rFonts w:ascii="Calibri" w:eastAsia="Calibri" w:hAnsi="Calibri" w:cs="Calibri"/>
          <w:sz w:val="18"/>
          <w:lang w:val="en-ZA"/>
        </w:rPr>
        <w:t>G.(</w:t>
      </w:r>
      <w:proofErr w:type="gramEnd"/>
      <w:r w:rsidRPr="00860994">
        <w:rPr>
          <w:rFonts w:ascii="Calibri" w:eastAsia="Calibri" w:hAnsi="Calibri" w:cs="Calibri"/>
          <w:sz w:val="18"/>
          <w:lang w:val="en-ZA"/>
        </w:rPr>
        <w:t>2015). Rapid and large-scale synthesis of Co</w:t>
      </w:r>
      <w:r w:rsidRPr="00860994">
        <w:rPr>
          <w:rFonts w:ascii="Calibri" w:eastAsia="Calibri" w:hAnsi="Calibri" w:cs="Calibri"/>
          <w:sz w:val="18"/>
          <w:vertAlign w:val="subscript"/>
          <w:lang w:val="en-ZA"/>
        </w:rPr>
        <w:t>3</w:t>
      </w:r>
      <w:r w:rsidRPr="00860994">
        <w:rPr>
          <w:rFonts w:ascii="Calibri" w:eastAsia="Calibri" w:hAnsi="Calibri" w:cs="Calibri"/>
          <w:sz w:val="18"/>
          <w:lang w:val="en-ZA"/>
        </w:rPr>
        <w:t>O</w:t>
      </w:r>
      <w:r w:rsidRPr="00860994">
        <w:rPr>
          <w:rFonts w:ascii="Calibri" w:eastAsia="Calibri" w:hAnsi="Calibri" w:cs="Calibri"/>
          <w:sz w:val="18"/>
          <w:vertAlign w:val="subscript"/>
          <w:lang w:val="en-ZA"/>
        </w:rPr>
        <w:t>4</w:t>
      </w:r>
      <w:r w:rsidRPr="00860994">
        <w:rPr>
          <w:rFonts w:ascii="Calibri" w:eastAsia="Calibri" w:hAnsi="Calibri" w:cs="Calibri"/>
          <w:sz w:val="18"/>
          <w:lang w:val="en-ZA"/>
        </w:rPr>
        <w:t xml:space="preserve"> octahedron particles with very high catalytic activity, good supercapacitance and unique magnetic properties. </w:t>
      </w:r>
      <w:r w:rsidRPr="00860994">
        <w:rPr>
          <w:rFonts w:ascii="Calibri" w:eastAsia="Calibri" w:hAnsi="Calibri" w:cs="Calibri"/>
          <w:sz w:val="18"/>
        </w:rPr>
        <w:t xml:space="preserve">RSC Advances, </w:t>
      </w:r>
      <w:r w:rsidRPr="00860994">
        <w:rPr>
          <w:rFonts w:ascii="Calibri" w:eastAsia="Calibri" w:hAnsi="Calibri" w:cs="Calibri"/>
          <w:sz w:val="18"/>
          <w:lang w:val="en-ZA"/>
        </w:rPr>
        <w:t>5, 104991–105002.</w:t>
      </w:r>
    </w:p>
    <w:p w:rsidR="00FD4411" w:rsidRDefault="00FD4411" w:rsidP="00FD4411">
      <w:pPr>
        <w:spacing w:line="200" w:lineRule="exact"/>
        <w:jc w:val="both"/>
        <w:rPr>
          <w:rFonts w:ascii="Calibri" w:hAnsi="Calibri"/>
        </w:rPr>
      </w:pPr>
      <w:r>
        <w:rPr>
          <w:rFonts w:ascii="Calibri" w:hAnsi="Calibri"/>
        </w:rPr>
        <w:t xml:space="preserve">   </w:t>
      </w:r>
    </w:p>
    <w:p w:rsidR="00FD4411" w:rsidRDefault="00FD4411" w:rsidP="00FD4411">
      <w:pPr>
        <w:widowControl/>
        <w:rPr>
          <w:rFonts w:ascii="Calibri" w:hAnsi="Calibri"/>
        </w:rPr>
        <w:sectPr w:rsidR="00FD4411">
          <w:type w:val="continuous"/>
          <w:pgSz w:w="11910" w:h="16840"/>
          <w:pgMar w:top="1740" w:right="600" w:bottom="840" w:left="620" w:header="720" w:footer="720" w:gutter="0"/>
          <w:cols w:num="2" w:space="720" w:equalWidth="0">
            <w:col w:w="5214" w:space="138"/>
            <w:col w:w="5338"/>
          </w:cols>
        </w:sectPr>
      </w:pPr>
    </w:p>
    <w:p w:rsidR="00FD4411" w:rsidRDefault="00FD4411" w:rsidP="00FD4411">
      <w:pPr>
        <w:pStyle w:val="BodyText"/>
        <w:rPr>
          <w:rFonts w:ascii="Calibri"/>
          <w:sz w:val="20"/>
        </w:rPr>
      </w:pPr>
    </w:p>
    <w:p w:rsidR="00FD4411" w:rsidRDefault="00FD4411" w:rsidP="00FD4411">
      <w:pPr>
        <w:pStyle w:val="BodyText"/>
        <w:spacing w:line="40" w:lineRule="exact"/>
        <w:ind w:left="2202"/>
        <w:rPr>
          <w:rFonts w:ascii="Calibri"/>
          <w:sz w:val="4"/>
        </w:rPr>
      </w:pPr>
      <w:r>
        <w:rPr>
          <w:noProof/>
          <w:lang w:val="en-ZA" w:eastAsia="en-ZA"/>
        </w:rPr>
        <mc:AlternateContent>
          <mc:Choice Requires="wpg">
            <w:drawing>
              <wp:inline distT="0" distB="0" distL="0" distR="0">
                <wp:extent cx="3975735" cy="25400"/>
                <wp:effectExtent l="0" t="0" r="0" b="0"/>
                <wp:docPr id="14" name="Group 14"/>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93356ED"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" strokecolor="#004080" strokeweight="2pt"/>
                <w10:anchorlock/>
              </v:group>
            </w:pict>
          </mc:Fallback>
        </mc:AlternateContent>
      </w:r>
    </w:p>
    <w:p w:rsidR="00FD4411" w:rsidRDefault="00FD4411" w:rsidP="00FD4411">
      <w:pPr>
        <w:spacing w:before="92"/>
        <w:ind w:right="4234"/>
        <w:rPr>
          <w:rFonts w:ascii="Arial"/>
        </w:rPr>
      </w:pPr>
      <w:r>
        <w:rPr>
          <w:noProof/>
        </w:rPr>
        <w:t xml:space="preserve">    </w:t>
      </w:r>
      <w:r w:rsidR="00860994">
        <w:rPr>
          <w:rFonts w:ascii="Arial"/>
          <w:noProof/>
          <w:color w:val="BF5A14"/>
          <w:lang w:val="en-ZA" w:eastAsia="en-ZA"/>
        </w:rPr>
        <w:drawing>
          <wp:inline distT="0" distB="0" distL="0" distR="0" wp14:anchorId="4E82CAE8" wp14:editId="0AAF0166">
            <wp:extent cx="857098" cy="721645"/>
            <wp:effectExtent l="0" t="0" r="635"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41559_10150315822228009_6604889_o.jpg"/>
                    <pic:cNvPicPr/>
                  </pic:nvPicPr>
                  <pic:blipFill rotWithShape="1">
                    <a:blip r:embed="rId7" cstate="print">
                      <a:extLst>
                        <a:ext uri="{28A0092B-C50C-407E-A947-70E740481C1C}">
                          <a14:useLocalDpi xmlns:a14="http://schemas.microsoft.com/office/drawing/2010/main" val="0"/>
                        </a:ext>
                      </a:extLst>
                    </a:blip>
                    <a:srcRect l="13133" t="1437" r="13705"/>
                    <a:stretch/>
                  </pic:blipFill>
                  <pic:spPr bwMode="auto">
                    <a:xfrm>
                      <a:off x="0" y="0"/>
                      <a:ext cx="866011" cy="729149"/>
                    </a:xfrm>
                    <a:prstGeom prst="rect">
                      <a:avLst/>
                    </a:prstGeom>
                    <a:ln>
                      <a:noFill/>
                    </a:ln>
                    <a:extLst>
                      <a:ext uri="{53640926-AAD7-44D8-BBD7-CCE9431645EC}">
                        <a14:shadowObscured xmlns:a14="http://schemas.microsoft.com/office/drawing/2010/main"/>
                      </a:ext>
                    </a:extLst>
                  </pic:spPr>
                </pic:pic>
              </a:graphicData>
            </a:graphic>
          </wp:inline>
        </w:drawing>
      </w:r>
      <w:r w:rsidR="00860994">
        <w:rPr>
          <w:noProof/>
        </w:rPr>
        <w:t xml:space="preserve"> </w:t>
      </w:r>
      <w:r w:rsidR="00881A09">
        <w:rPr>
          <w:rFonts w:ascii="Arial"/>
          <w:color w:val="BF5A14"/>
        </w:rPr>
        <w:t>Biography</w:t>
      </w:r>
    </w:p>
    <w:p w:rsidR="00860994" w:rsidRPr="00860994" w:rsidRDefault="00860994" w:rsidP="00860994">
      <w:pPr>
        <w:spacing w:before="41" w:line="154" w:lineRule="exact"/>
        <w:ind w:left="213" w:right="231"/>
        <w:jc w:val="both"/>
        <w:rPr>
          <w:rFonts w:ascii="Arial"/>
          <w:sz w:val="14"/>
        </w:rPr>
      </w:pPr>
      <w:bookmarkStart w:id="0" w:name="_GoBack"/>
      <w:r>
        <w:rPr>
          <w:rFonts w:ascii="Arial"/>
          <w:sz w:val="14"/>
        </w:rPr>
        <w:t>Mahabubur Chowdhury</w:t>
      </w:r>
      <w:r w:rsidRPr="00860994">
        <w:rPr>
          <w:rFonts w:ascii="Arial"/>
          <w:sz w:val="14"/>
        </w:rPr>
        <w:t xml:space="preserve"> holds a doctoral degree in Chemical</w:t>
      </w:r>
      <w:r>
        <w:rPr>
          <w:rFonts w:ascii="Arial"/>
          <w:sz w:val="14"/>
        </w:rPr>
        <w:t xml:space="preserve"> Engineering and is currently a</w:t>
      </w:r>
      <w:r w:rsidRPr="00860994">
        <w:rPr>
          <w:rFonts w:ascii="Arial"/>
          <w:sz w:val="14"/>
        </w:rPr>
        <w:t xml:space="preserve"> </w:t>
      </w:r>
      <w:r>
        <w:rPr>
          <w:rFonts w:ascii="Arial"/>
          <w:sz w:val="14"/>
        </w:rPr>
        <w:t>senior lecturer</w:t>
      </w:r>
      <w:r w:rsidRPr="00860994">
        <w:rPr>
          <w:rFonts w:ascii="Arial"/>
          <w:sz w:val="14"/>
        </w:rPr>
        <w:t xml:space="preserve"> in the </w:t>
      </w:r>
      <w:r>
        <w:rPr>
          <w:rFonts w:ascii="Arial"/>
          <w:sz w:val="14"/>
        </w:rPr>
        <w:t>department of chemical</w:t>
      </w:r>
      <w:r w:rsidRPr="00860994">
        <w:rPr>
          <w:rFonts w:ascii="Arial"/>
          <w:sz w:val="14"/>
        </w:rPr>
        <w:t xml:space="preserve"> Engineering at Cape Peninsula University of Technology. </w:t>
      </w:r>
      <w:r>
        <w:rPr>
          <w:rFonts w:ascii="Arial"/>
          <w:sz w:val="14"/>
        </w:rPr>
        <w:t xml:space="preserve">His research </w:t>
      </w:r>
      <w:r w:rsidR="00D3641B">
        <w:rPr>
          <w:rFonts w:ascii="Arial"/>
          <w:sz w:val="14"/>
        </w:rPr>
        <w:t xml:space="preserve">is on </w:t>
      </w:r>
      <w:r>
        <w:rPr>
          <w:rFonts w:ascii="Arial"/>
          <w:sz w:val="14"/>
        </w:rPr>
        <w:t>advanced functional material</w:t>
      </w:r>
      <w:r w:rsidR="00D3641B">
        <w:rPr>
          <w:rFonts w:ascii="Arial"/>
          <w:sz w:val="14"/>
        </w:rPr>
        <w:t>s</w:t>
      </w:r>
      <w:r>
        <w:rPr>
          <w:rFonts w:ascii="Arial"/>
          <w:sz w:val="14"/>
        </w:rPr>
        <w:t xml:space="preserve"> for bio sensing </w:t>
      </w:r>
      <w:r w:rsidR="0008644A">
        <w:rPr>
          <w:rFonts w:ascii="Arial"/>
          <w:sz w:val="14"/>
        </w:rPr>
        <w:t>and water treatment</w:t>
      </w:r>
      <w:r w:rsidRPr="00860994">
        <w:rPr>
          <w:rFonts w:ascii="Arial"/>
          <w:sz w:val="14"/>
        </w:rPr>
        <w:t xml:space="preserve">. </w:t>
      </w:r>
      <w:r w:rsidR="00D3641B">
        <w:rPr>
          <w:rFonts w:ascii="Arial"/>
          <w:sz w:val="14"/>
        </w:rPr>
        <w:t>His interest is on the relationship of electronic structure</w:t>
      </w:r>
      <w:r w:rsidR="00D3641B" w:rsidRPr="00D3641B">
        <w:rPr>
          <w:rFonts w:ascii="Arial"/>
          <w:sz w:val="14"/>
        </w:rPr>
        <w:t xml:space="preserve"> and ionic transport properties in semiconductor electrodes</w:t>
      </w:r>
      <w:r w:rsidR="00D3641B">
        <w:rPr>
          <w:rFonts w:ascii="Arial"/>
          <w:sz w:val="14"/>
        </w:rPr>
        <w:t xml:space="preserve">. </w:t>
      </w:r>
      <w:r w:rsidR="0008644A">
        <w:rPr>
          <w:rFonts w:ascii="Arial"/>
          <w:sz w:val="14"/>
        </w:rPr>
        <w:t xml:space="preserve">He has published many journal articles, conference proceedings, book chapter and patent. </w:t>
      </w:r>
    </w:p>
    <w:bookmarkEnd w:id="0"/>
    <w:p w:rsidR="00FD4411" w:rsidRDefault="00FD4411" w:rsidP="00860994">
      <w:pPr>
        <w:spacing w:before="62"/>
        <w:ind w:left="4217" w:right="4235"/>
        <w:jc w:val="center"/>
        <w:rPr>
          <w:rFonts w:ascii="Arial"/>
          <w:sz w:val="19"/>
        </w:rPr>
      </w:pPr>
      <w:r>
        <w:rPr>
          <w:rFonts w:ascii="Arial"/>
          <w:sz w:val="14"/>
        </w:rPr>
        <w:t xml:space="preserve">Email: </w:t>
      </w:r>
      <w:hyperlink r:id="rId8" w:history="1">
        <w:r w:rsidR="0008644A" w:rsidRPr="00484F74">
          <w:rPr>
            <w:rStyle w:val="Hyperlink"/>
            <w:rFonts w:ascii="Arial"/>
            <w:sz w:val="14"/>
          </w:rPr>
          <w:t>chowdhurym@cput.ac.za</w:t>
        </w:r>
      </w:hyperlink>
      <w:r>
        <w:rPr>
          <w:noProof/>
          <w:lang w:val="en-ZA" w:eastAsia="en-ZA"/>
        </w:rPr>
        <mc:AlternateContent>
          <mc:Choice Requires="wps">
            <w:drawing>
              <wp:anchor distT="0" distB="0" distL="0" distR="0" simplePos="0" relativeHeight="251658240" behindDoc="0" locked="0" layoutInCell="1" allowOverlap="1">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8A3553"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rsidR="00FD4411" w:rsidRPr="00C40FDB" w:rsidRDefault="00FD4411" w:rsidP="00C40FDB">
      <w:pPr>
        <w:spacing w:before="39"/>
        <w:ind w:left="100"/>
        <w:rPr>
          <w:rFonts w:ascii="Minion Pro"/>
          <w:b/>
          <w:sz w:val="20"/>
        </w:rPr>
        <w:sectPr w:rsidR="00FD4411" w:rsidRPr="00C40FDB">
          <w:type w:val="continuous"/>
          <w:pgSz w:w="11910" w:h="16840"/>
          <w:pgMar w:top="1740" w:right="600" w:bottom="840" w:left="620" w:header="720" w:footer="720" w:gutter="0"/>
          <w:cols w:space="720"/>
        </w:sectPr>
      </w:pPr>
      <w:r>
        <w:rPr>
          <w:rFonts w:ascii="Minion Pro"/>
          <w:b/>
          <w:sz w:val="20"/>
        </w:rPr>
        <w:t>Notes/Comments:</w:t>
      </w:r>
    </w:p>
    <w:p w:rsidR="00FD4411" w:rsidRDefault="00FD4411" w:rsidP="00C40FDB">
      <w:pPr>
        <w:pStyle w:val="NormalWeb"/>
        <w:rPr>
          <w:rFonts w:ascii="Minion Pro"/>
          <w:sz w:val="26"/>
        </w:rPr>
      </w:pPr>
    </w:p>
    <w:sectPr w:rsidR="00FD44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B566A"/>
    <w:multiLevelType w:val="hybridMultilevel"/>
    <w:tmpl w:val="9600EF82"/>
    <w:lvl w:ilvl="0" w:tplc="171E33D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411"/>
    <w:rsid w:val="0008644A"/>
    <w:rsid w:val="000F3BFA"/>
    <w:rsid w:val="00557D6D"/>
    <w:rsid w:val="005679BB"/>
    <w:rsid w:val="005B5671"/>
    <w:rsid w:val="00860994"/>
    <w:rsid w:val="00881A09"/>
    <w:rsid w:val="00B77E33"/>
    <w:rsid w:val="00C40FDB"/>
    <w:rsid w:val="00D3641B"/>
    <w:rsid w:val="00D46531"/>
    <w:rsid w:val="00DB5D95"/>
    <w:rsid w:val="00E355C5"/>
    <w:rsid w:val="00F833BF"/>
    <w:rsid w:val="00FD441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BADE2"/>
  <w15:docId w15:val="{DAF94BD7-5FDD-44BD-B5E6-B84598791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D4411"/>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FD4411"/>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D4411"/>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FD4411"/>
    <w:rPr>
      <w:rFonts w:ascii="Arial" w:eastAsia="Arial" w:hAnsi="Arial" w:cs="Arial"/>
      <w:b/>
      <w:bCs/>
      <w:sz w:val="20"/>
      <w:szCs w:val="20"/>
      <w:lang w:val="en-US"/>
    </w:rPr>
  </w:style>
  <w:style w:type="character" w:styleId="Hyperlink">
    <w:name w:val="Hyperlink"/>
    <w:basedOn w:val="DefaultParagraphFont"/>
    <w:uiPriority w:val="99"/>
    <w:unhideWhenUsed/>
    <w:rsid w:val="00FD4411"/>
    <w:rPr>
      <w:color w:val="0000FF" w:themeColor="hyperlink"/>
      <w:u w:val="single"/>
    </w:rPr>
  </w:style>
  <w:style w:type="paragraph" w:styleId="BodyText">
    <w:name w:val="Body Text"/>
    <w:basedOn w:val="Normal"/>
    <w:link w:val="BodyTextChar"/>
    <w:uiPriority w:val="1"/>
    <w:semiHidden/>
    <w:unhideWhenUsed/>
    <w:qFormat/>
    <w:rsid w:val="00FD4411"/>
    <w:rPr>
      <w:sz w:val="18"/>
      <w:szCs w:val="18"/>
    </w:rPr>
  </w:style>
  <w:style w:type="character" w:customStyle="1" w:styleId="BodyTextChar">
    <w:name w:val="Body Text Char"/>
    <w:basedOn w:val="DefaultParagraphFont"/>
    <w:link w:val="BodyText"/>
    <w:uiPriority w:val="1"/>
    <w:semiHidden/>
    <w:rsid w:val="00FD4411"/>
    <w:rPr>
      <w:rFonts w:ascii="Tw Cen MT" w:eastAsia="Tw Cen MT" w:hAnsi="Tw Cen MT" w:cs="Tw Cen MT"/>
      <w:sz w:val="18"/>
      <w:szCs w:val="18"/>
      <w:lang w:val="en-US"/>
    </w:rPr>
  </w:style>
  <w:style w:type="paragraph" w:styleId="ListParagraph">
    <w:name w:val="List Paragraph"/>
    <w:basedOn w:val="Normal"/>
    <w:uiPriority w:val="1"/>
    <w:qFormat/>
    <w:rsid w:val="00FD4411"/>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FD4411"/>
    <w:rPr>
      <w:rFonts w:ascii="Tahoma" w:hAnsi="Tahoma" w:cs="Tahoma"/>
      <w:sz w:val="16"/>
      <w:szCs w:val="16"/>
    </w:rPr>
  </w:style>
  <w:style w:type="character" w:customStyle="1" w:styleId="BalloonTextChar">
    <w:name w:val="Balloon Text Char"/>
    <w:basedOn w:val="DefaultParagraphFont"/>
    <w:link w:val="BalloonText"/>
    <w:uiPriority w:val="99"/>
    <w:semiHidden/>
    <w:rsid w:val="00FD4411"/>
    <w:rPr>
      <w:rFonts w:ascii="Tahoma" w:eastAsia="Tw Cen MT" w:hAnsi="Tahoma" w:cs="Tahoma"/>
      <w:sz w:val="16"/>
      <w:szCs w:val="16"/>
      <w:lang w:val="en-US"/>
    </w:rPr>
  </w:style>
  <w:style w:type="paragraph" w:customStyle="1" w:styleId="RSCF02FootnotestoTitleAuthors">
    <w:name w:val="RSC F02 Footnotes to Title/Authors"/>
    <w:basedOn w:val="Normal"/>
    <w:link w:val="RSCF02FootnotestoTitleAuthorsChar"/>
    <w:qFormat/>
    <w:rsid w:val="00D46531"/>
    <w:pPr>
      <w:widowControl/>
      <w:tabs>
        <w:tab w:val="left" w:pos="284"/>
      </w:tabs>
      <w:suppressOverlap/>
      <w:jc w:val="both"/>
    </w:pPr>
    <w:rPr>
      <w:rFonts w:asciiTheme="minorHAnsi" w:eastAsiaTheme="minorHAnsi" w:hAnsiTheme="minorHAnsi" w:cs="Times New Roman"/>
      <w:w w:val="105"/>
      <w:sz w:val="14"/>
      <w:szCs w:val="14"/>
      <w:lang w:val="en-GB"/>
    </w:rPr>
  </w:style>
  <w:style w:type="character" w:customStyle="1" w:styleId="RSCF02FootnotestoTitleAuthorsChar">
    <w:name w:val="RSC F02 Footnotes to Title/Authors Char"/>
    <w:basedOn w:val="DefaultParagraphFont"/>
    <w:link w:val="RSCF02FootnotestoTitleAuthors"/>
    <w:rsid w:val="00D46531"/>
    <w:rPr>
      <w:rFonts w:cs="Times New Roman"/>
      <w:w w:val="105"/>
      <w:sz w:val="14"/>
      <w:szCs w:val="14"/>
      <w:lang w:val="en-GB"/>
    </w:rPr>
  </w:style>
  <w:style w:type="paragraph" w:styleId="NormalWeb">
    <w:name w:val="Normal (Web)"/>
    <w:basedOn w:val="Normal"/>
    <w:uiPriority w:val="99"/>
    <w:unhideWhenUsed/>
    <w:rsid w:val="00D3641B"/>
    <w:pPr>
      <w:widowControl/>
      <w:spacing w:before="100" w:beforeAutospacing="1" w:after="100" w:afterAutospacing="1"/>
    </w:pPr>
    <w:rPr>
      <w:rFonts w:ascii="Times New Roman" w:eastAsia="Times New Roman" w:hAnsi="Times New Roman" w:cs="Times New Roman"/>
      <w:sz w:val="24"/>
      <w:szCs w:val="24"/>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2112482">
      <w:bodyDiv w:val="1"/>
      <w:marLeft w:val="0"/>
      <w:marRight w:val="0"/>
      <w:marTop w:val="0"/>
      <w:marBottom w:val="0"/>
      <w:divBdr>
        <w:top w:val="none" w:sz="0" w:space="0" w:color="auto"/>
        <w:left w:val="none" w:sz="0" w:space="0" w:color="auto"/>
        <w:bottom w:val="none" w:sz="0" w:space="0" w:color="auto"/>
        <w:right w:val="none" w:sz="0" w:space="0" w:color="auto"/>
      </w:divBdr>
    </w:div>
    <w:div w:id="1620454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owdhurym@cput.ac.za"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searchgate.net/publication/283485423_Charge_transfer_between_biogenic_jarosite_derived_Fe3_and_TiO2_enhances_visible_light_photocatalytic_activity_of_TiO2" TargetMode="External"/><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2</Pages>
  <Words>595</Words>
  <Characters>3397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 Bio</dc:creator>
  <cp:lastModifiedBy>Mahabubur Chowdhury</cp:lastModifiedBy>
  <cp:revision>13</cp:revision>
  <dcterms:created xsi:type="dcterms:W3CDTF">2018-01-29T10:27:00Z</dcterms:created>
  <dcterms:modified xsi:type="dcterms:W3CDTF">2018-01-30T12:05:00Z</dcterms:modified>
</cp:coreProperties>
</file>