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20384" w:rsidP="00494130">
      <w:pPr>
        <w:pStyle w:val="Titolo1"/>
        <w:spacing w:before="170"/>
        <w:ind w:left="0"/>
      </w:pPr>
      <w:r w:rsidRPr="00320384">
        <w:rPr>
          <w:color w:val="337AB7"/>
        </w:rPr>
        <w:t xml:space="preserve">Kovacs effect and </w:t>
      </w:r>
      <w:r>
        <w:rPr>
          <w:color w:val="337AB7"/>
        </w:rPr>
        <w:t>the relation between glasses,</w:t>
      </w:r>
      <w:r w:rsidRPr="00320384">
        <w:rPr>
          <w:color w:val="337AB7"/>
        </w:rPr>
        <w:t xml:space="preserve"> </w:t>
      </w:r>
      <w:proofErr w:type="spellStart"/>
      <w:r w:rsidRPr="00320384">
        <w:rPr>
          <w:color w:val="337AB7"/>
        </w:rPr>
        <w:t>supercooled</w:t>
      </w:r>
      <w:proofErr w:type="spellEnd"/>
      <w:r w:rsidRPr="00320384">
        <w:rPr>
          <w:color w:val="337AB7"/>
        </w:rPr>
        <w:t xml:space="preserve"> liquids</w:t>
      </w:r>
      <w:r>
        <w:rPr>
          <w:color w:val="337AB7"/>
        </w:rPr>
        <w:t xml:space="preserve"> and crystals</w:t>
      </w:r>
    </w:p>
    <w:p w:rsidR="005973B9" w:rsidRPr="00320384" w:rsidRDefault="00320384" w:rsidP="005973B9">
      <w:pPr>
        <w:pStyle w:val="Corpotesto"/>
        <w:spacing w:before="73" w:line="198" w:lineRule="exact"/>
        <w:ind w:left="100" w:right="5987"/>
        <w:rPr>
          <w:rFonts w:ascii="Arial"/>
          <w:lang w:val="it-IT"/>
        </w:rPr>
      </w:pPr>
      <w:r w:rsidRPr="00320384">
        <w:rPr>
          <w:rFonts w:ascii="Arial"/>
          <w:lang w:val="it-IT"/>
        </w:rPr>
        <w:t>F</w:t>
      </w:r>
      <w:r>
        <w:rPr>
          <w:rFonts w:ascii="Arial"/>
          <w:lang w:val="it-IT"/>
        </w:rPr>
        <w:t>rancesco</w:t>
      </w:r>
      <w:r w:rsidRPr="00320384">
        <w:rPr>
          <w:rFonts w:ascii="Arial"/>
          <w:lang w:val="it-IT"/>
        </w:rPr>
        <w:t xml:space="preserve"> Aliotta, CNR-IPCF, Messina, ITALY</w:t>
      </w:r>
      <w:r>
        <w:rPr>
          <w:rFonts w:ascii="Arial"/>
          <w:lang w:val="it-IT"/>
        </w:rPr>
        <w:t xml:space="preserve"> </w:t>
      </w:r>
    </w:p>
    <w:p w:rsidR="00AE3E37" w:rsidRPr="00320384" w:rsidRDefault="00AE3E37">
      <w:pPr>
        <w:pStyle w:val="Corpotesto"/>
        <w:rPr>
          <w:rFonts w:ascii="Arial"/>
          <w:sz w:val="20"/>
          <w:lang w:val="it-IT"/>
        </w:rPr>
      </w:pPr>
    </w:p>
    <w:p w:rsidR="00AE3E37" w:rsidRPr="00320384" w:rsidRDefault="00AE3E37">
      <w:pPr>
        <w:pStyle w:val="Corpotesto"/>
        <w:spacing w:before="3"/>
        <w:rPr>
          <w:rFonts w:ascii="Arial"/>
          <w:sz w:val="21"/>
          <w:lang w:val="it-IT"/>
        </w:rPr>
      </w:pPr>
    </w:p>
    <w:p w:rsidR="00AE3E37" w:rsidRPr="00320384" w:rsidRDefault="00AE3E37">
      <w:pPr>
        <w:rPr>
          <w:rFonts w:ascii="Arial"/>
          <w:sz w:val="21"/>
          <w:lang w:val="it-IT"/>
        </w:rPr>
        <w:sectPr w:rsidR="00AE3E37" w:rsidRPr="00320384">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p>
    <w:p w:rsidR="00320384" w:rsidRDefault="00713C7A" w:rsidP="00320384">
      <w:pPr>
        <w:pStyle w:val="Corpotesto"/>
        <w:spacing w:before="90" w:line="280" w:lineRule="auto"/>
        <w:ind w:left="100"/>
        <w:jc w:val="both"/>
      </w:pPr>
      <w:r>
        <w:rPr>
          <w:rFonts w:ascii="Arial"/>
          <w:b/>
          <w:noProof/>
          <w:sz w:val="16"/>
          <w:lang w:val="it-IT" w:eastAsia="it-IT"/>
        </w:rPr>
        <w:drawing>
          <wp:anchor distT="0" distB="0" distL="114300" distR="114300" simplePos="0" relativeHeight="251659264" behindDoc="0" locked="0" layoutInCell="1" allowOverlap="1" wp14:anchorId="432D3291" wp14:editId="37F9AF61">
            <wp:simplePos x="0" y="0"/>
            <wp:positionH relativeFrom="column">
              <wp:posOffset>3836670</wp:posOffset>
            </wp:positionH>
            <wp:positionV relativeFrom="paragraph">
              <wp:posOffset>121285</wp:posOffset>
            </wp:positionV>
            <wp:extent cx="2390140" cy="2519680"/>
            <wp:effectExtent l="0" t="0" r="0" b="0"/>
            <wp:wrapTopAndBottom/>
            <wp:docPr id="6" name="Immagine 6" descr="C:\Users\aliotta\Desktop\Immagine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otta\Desktop\Immagine1.w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0140" cy="2519680"/>
                    </a:xfrm>
                    <a:prstGeom prst="rect">
                      <a:avLst/>
                    </a:prstGeom>
                    <a:noFill/>
                    <a:ln>
                      <a:noFill/>
                    </a:ln>
                  </pic:spPr>
                </pic:pic>
              </a:graphicData>
            </a:graphic>
            <wp14:sizeRelH relativeFrom="page">
              <wp14:pctWidth>0</wp14:pctWidth>
            </wp14:sizeRelH>
            <wp14:sizeRelV relativeFrom="page">
              <wp14:pctHeight>0</wp14:pctHeight>
            </wp14:sizeRelV>
          </wp:anchor>
        </w:drawing>
      </w:r>
      <w:r w:rsidR="00320384">
        <w:t>We revisit Kovacs’ effect, which concerns the way the volume of a glass-forming liquid, originally driven out of equilibrium, changes with time while the system evolves towards a metastable state. The theoretical explanation of this phenomenon has attracted a deep interest even in recent years, because of its relation with some subtle aspects of the still elusive nature of the glass transition. In fact, even if there is a rather general consensus on the fact that what is experimentally observed on cooling is the dramatic effect produced by the dynamical arrest of slower degrees of freedom over the experimental time scale, it is not at all obvious whether this phenomenology can be justified by an underlying (possibly, high order) phase transition at a lower temperature. We show how the phenomenon investigated by Kovacs can be explained in terms of the relaxation undergone by slow motions, on a time scale comparable with the experimental time windows. The results from a simple model system, namely o-</w:t>
      </w:r>
      <w:proofErr w:type="spellStart"/>
      <w:r w:rsidR="00320384">
        <w:t>therphenyl</w:t>
      </w:r>
      <w:proofErr w:type="spellEnd"/>
      <w:r w:rsidR="00320384">
        <w:t>, are compared with indications from other glass formers, including water.</w:t>
      </w:r>
      <w:r w:rsidR="00320384">
        <w:t xml:space="preserve"> The mechanisms </w:t>
      </w:r>
      <w:proofErr w:type="spellStart"/>
      <w:r w:rsidR="00320384">
        <w:t>underlaying</w:t>
      </w:r>
      <w:proofErr w:type="spellEnd"/>
      <w:r w:rsidR="00320384">
        <w:t xml:space="preserve"> the formation of crystals (dendrites) when a </w:t>
      </w:r>
      <w:proofErr w:type="spellStart"/>
      <w:r w:rsidR="00320384">
        <w:t>supercooled</w:t>
      </w:r>
      <w:proofErr w:type="spellEnd"/>
      <w:r w:rsidR="00320384">
        <w:t xml:space="preserve"> liquid escape </w:t>
      </w:r>
      <w:proofErr w:type="spellStart"/>
      <w:r w:rsidR="00320384">
        <w:t>metastability</w:t>
      </w:r>
      <w:proofErr w:type="spellEnd"/>
      <w:r w:rsidR="00320384">
        <w:t xml:space="preserve"> are also explored within the adopted perspective.</w:t>
      </w:r>
    </w:p>
    <w:p w:rsidR="00AE3E37" w:rsidRDefault="00320384" w:rsidP="00320384">
      <w:pPr>
        <w:pStyle w:val="Corpotesto"/>
        <w:spacing w:before="90" w:line="280" w:lineRule="auto"/>
        <w:ind w:left="100"/>
        <w:jc w:val="both"/>
      </w:pPr>
      <w:r>
        <w:t>The ability of a simple out-of-equilibrium approach in reproducing a wide class of phenomena related with the glass transition suggests the idea that the hypothesis of a thermodynamic phase transition should be reconsidered in favor of alternative scenarios.</w:t>
      </w:r>
      <w:r w:rsidR="00713C7A" w:rsidRPr="00713C7A">
        <w:rPr>
          <w:b/>
          <w:noProof/>
          <w:lang w:eastAsia="it-IT"/>
        </w:rPr>
        <w:t xml:space="preserve"> </w:t>
      </w:r>
    </w:p>
    <w:p w:rsidR="00AE3E37" w:rsidRDefault="00713C7A">
      <w:pPr>
        <w:pStyle w:val="Titolo3"/>
        <w:spacing w:before="74"/>
      </w:pPr>
      <w:r>
        <w:rPr>
          <w:b w:val="0"/>
          <w:noProof/>
          <w:lang w:val="it-IT" w:eastAsia="it-IT"/>
        </w:rPr>
        <w:drawing>
          <wp:anchor distT="0" distB="0" distL="114300" distR="114300" simplePos="0" relativeHeight="251658240" behindDoc="0" locked="0" layoutInCell="1" allowOverlap="1" wp14:anchorId="585883F3" wp14:editId="56CAF531">
            <wp:simplePos x="0" y="0"/>
            <wp:positionH relativeFrom="column">
              <wp:posOffset>393700</wp:posOffset>
            </wp:positionH>
            <wp:positionV relativeFrom="paragraph">
              <wp:posOffset>71120</wp:posOffset>
            </wp:positionV>
            <wp:extent cx="2418715" cy="2519680"/>
            <wp:effectExtent l="0" t="0" r="635" b="0"/>
            <wp:wrapTopAndBottom/>
            <wp:docPr id="12" name="Immagine 12" descr="C:\Users\aliotta\Desktop\Immagine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otta\Desktop\Immagine2.w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8715" cy="251968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AE3E37">
      <w:pPr>
        <w:pStyle w:val="Corpotes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713C7A" w:rsidP="005973B9">
      <w:pPr>
        <w:pStyle w:val="Paragrafoelenco"/>
        <w:numPr>
          <w:ilvl w:val="0"/>
          <w:numId w:val="3"/>
        </w:numPr>
        <w:tabs>
          <w:tab w:val="left" w:pos="384"/>
        </w:tabs>
        <w:spacing w:before="103" w:line="216" w:lineRule="exact"/>
        <w:ind w:right="138" w:hanging="283"/>
        <w:rPr>
          <w:sz w:val="18"/>
        </w:rPr>
      </w:pPr>
      <w:proofErr w:type="spellStart"/>
      <w:r>
        <w:rPr>
          <w:sz w:val="18"/>
        </w:rPr>
        <w:t>Aliotta</w:t>
      </w:r>
      <w:proofErr w:type="spellEnd"/>
      <w:r>
        <w:rPr>
          <w:sz w:val="18"/>
        </w:rPr>
        <w:t xml:space="preserve"> F, </w:t>
      </w:r>
      <w:proofErr w:type="spellStart"/>
      <w:r>
        <w:rPr>
          <w:sz w:val="18"/>
        </w:rPr>
        <w:t>Giaquinta</w:t>
      </w:r>
      <w:proofErr w:type="spellEnd"/>
      <w:r>
        <w:rPr>
          <w:sz w:val="18"/>
        </w:rPr>
        <w:t xml:space="preserve"> PV, </w:t>
      </w:r>
      <w:proofErr w:type="spellStart"/>
      <w:r>
        <w:rPr>
          <w:sz w:val="18"/>
        </w:rPr>
        <w:t>Ponterio</w:t>
      </w:r>
      <w:proofErr w:type="spellEnd"/>
      <w:r>
        <w:rPr>
          <w:sz w:val="18"/>
        </w:rPr>
        <w:t xml:space="preserve"> RC, </w:t>
      </w:r>
      <w:proofErr w:type="spellStart"/>
      <w:r>
        <w:rPr>
          <w:sz w:val="18"/>
        </w:rPr>
        <w:t>Prestipino</w:t>
      </w:r>
      <w:proofErr w:type="spellEnd"/>
      <w:r>
        <w:rPr>
          <w:sz w:val="18"/>
        </w:rPr>
        <w:t xml:space="preserve"> S, </w:t>
      </w:r>
      <w:proofErr w:type="spellStart"/>
      <w:r>
        <w:rPr>
          <w:sz w:val="18"/>
        </w:rPr>
        <w:t>Saija</w:t>
      </w:r>
      <w:proofErr w:type="spellEnd"/>
      <w:r>
        <w:rPr>
          <w:sz w:val="18"/>
        </w:rPr>
        <w:t xml:space="preserve"> F, </w:t>
      </w:r>
      <w:proofErr w:type="spellStart"/>
      <w:r>
        <w:rPr>
          <w:sz w:val="18"/>
        </w:rPr>
        <w:t>Salvato</w:t>
      </w:r>
      <w:proofErr w:type="spellEnd"/>
      <w:r>
        <w:rPr>
          <w:sz w:val="18"/>
        </w:rPr>
        <w:t xml:space="preserve"> G, </w:t>
      </w:r>
      <w:proofErr w:type="spellStart"/>
      <w:r>
        <w:rPr>
          <w:sz w:val="18"/>
        </w:rPr>
        <w:t>Vasi</w:t>
      </w:r>
      <w:proofErr w:type="spellEnd"/>
      <w:r>
        <w:rPr>
          <w:sz w:val="18"/>
        </w:rPr>
        <w:t xml:space="preserve"> C (2014</w:t>
      </w:r>
      <w:r w:rsidR="005973B9">
        <w:rPr>
          <w:sz w:val="18"/>
        </w:rPr>
        <w:t xml:space="preserve">) </w:t>
      </w:r>
      <w:proofErr w:type="spellStart"/>
      <w:r>
        <w:rPr>
          <w:sz w:val="18"/>
        </w:rPr>
        <w:t>Supercooled</w:t>
      </w:r>
      <w:proofErr w:type="spellEnd"/>
      <w:r>
        <w:rPr>
          <w:sz w:val="18"/>
        </w:rPr>
        <w:t xml:space="preserve"> water escaping from </w:t>
      </w:r>
      <w:proofErr w:type="spellStart"/>
      <w:r>
        <w:rPr>
          <w:sz w:val="18"/>
        </w:rPr>
        <w:t>metastability</w:t>
      </w:r>
      <w:proofErr w:type="spellEnd"/>
      <w:r w:rsidR="00D9795A">
        <w:rPr>
          <w:sz w:val="18"/>
        </w:rPr>
        <w:t>, Scientific Reports</w:t>
      </w:r>
      <w:r w:rsidR="005973B9" w:rsidRPr="005973B9">
        <w:rPr>
          <w:sz w:val="18"/>
        </w:rPr>
        <w:t xml:space="preserve"> </w:t>
      </w:r>
      <w:r w:rsidR="00D9795A">
        <w:rPr>
          <w:sz w:val="18"/>
        </w:rPr>
        <w:t>4</w:t>
      </w:r>
      <w:r w:rsidR="005973B9" w:rsidRPr="005973B9">
        <w:rPr>
          <w:sz w:val="18"/>
        </w:rPr>
        <w:t>:</w:t>
      </w:r>
      <w:r w:rsidR="00D9795A">
        <w:rPr>
          <w:sz w:val="18"/>
        </w:rPr>
        <w:t>7230</w:t>
      </w:r>
      <w:r w:rsidR="005973B9" w:rsidRPr="005973B9">
        <w:rPr>
          <w:sz w:val="18"/>
        </w:rPr>
        <w:t>.</w:t>
      </w:r>
    </w:p>
    <w:p w:rsidR="005973B9" w:rsidRPr="00D9795A" w:rsidRDefault="00D9795A" w:rsidP="00D9795A">
      <w:pPr>
        <w:pStyle w:val="Paragrafoelenco"/>
        <w:numPr>
          <w:ilvl w:val="0"/>
          <w:numId w:val="3"/>
        </w:numPr>
        <w:tabs>
          <w:tab w:val="left" w:pos="384"/>
        </w:tabs>
        <w:spacing w:line="216" w:lineRule="exact"/>
        <w:ind w:right="137"/>
        <w:rPr>
          <w:sz w:val="18"/>
        </w:rPr>
      </w:pPr>
      <w:proofErr w:type="spellStart"/>
      <w:r w:rsidRPr="00D9795A">
        <w:rPr>
          <w:sz w:val="18"/>
        </w:rPr>
        <w:t>Aliotta</w:t>
      </w:r>
      <w:proofErr w:type="spellEnd"/>
      <w:r w:rsidRPr="00D9795A">
        <w:rPr>
          <w:sz w:val="18"/>
        </w:rPr>
        <w:t xml:space="preserve"> F, </w:t>
      </w:r>
      <w:proofErr w:type="spellStart"/>
      <w:r w:rsidRPr="00D9795A">
        <w:rPr>
          <w:sz w:val="18"/>
        </w:rPr>
        <w:t>Giaquinta</w:t>
      </w:r>
      <w:proofErr w:type="spellEnd"/>
      <w:r w:rsidRPr="00D9795A">
        <w:rPr>
          <w:sz w:val="18"/>
        </w:rPr>
        <w:t xml:space="preserve"> PV, </w:t>
      </w:r>
      <w:proofErr w:type="spellStart"/>
      <w:r w:rsidRPr="00D9795A">
        <w:rPr>
          <w:sz w:val="18"/>
        </w:rPr>
        <w:t>Pochylski</w:t>
      </w:r>
      <w:proofErr w:type="spellEnd"/>
      <w:r w:rsidRPr="00D9795A">
        <w:rPr>
          <w:sz w:val="18"/>
        </w:rPr>
        <w:t xml:space="preserve"> M, </w:t>
      </w:r>
      <w:proofErr w:type="spellStart"/>
      <w:r w:rsidRPr="00D9795A">
        <w:rPr>
          <w:sz w:val="18"/>
        </w:rPr>
        <w:t>Ponterio</w:t>
      </w:r>
      <w:proofErr w:type="spellEnd"/>
      <w:r w:rsidRPr="00D9795A">
        <w:rPr>
          <w:sz w:val="18"/>
        </w:rPr>
        <w:t xml:space="preserve"> RC, </w:t>
      </w:r>
      <w:proofErr w:type="spellStart"/>
      <w:r w:rsidRPr="00D9795A">
        <w:rPr>
          <w:sz w:val="18"/>
        </w:rPr>
        <w:t>Prestipino</w:t>
      </w:r>
      <w:proofErr w:type="spellEnd"/>
      <w:r w:rsidRPr="00D9795A">
        <w:rPr>
          <w:sz w:val="18"/>
        </w:rPr>
        <w:t xml:space="preserve"> S, </w:t>
      </w:r>
      <w:proofErr w:type="spellStart"/>
      <w:r w:rsidRPr="00D9795A">
        <w:rPr>
          <w:sz w:val="18"/>
        </w:rPr>
        <w:t>Saija</w:t>
      </w:r>
      <w:proofErr w:type="spellEnd"/>
      <w:r w:rsidRPr="00D9795A">
        <w:rPr>
          <w:sz w:val="18"/>
        </w:rPr>
        <w:t xml:space="preserve"> F, </w:t>
      </w:r>
      <w:proofErr w:type="spellStart"/>
      <w:r w:rsidRPr="00D9795A">
        <w:rPr>
          <w:sz w:val="18"/>
        </w:rPr>
        <w:t>Vasi</w:t>
      </w:r>
      <w:proofErr w:type="spellEnd"/>
      <w:r w:rsidRPr="00D9795A">
        <w:rPr>
          <w:sz w:val="18"/>
        </w:rPr>
        <w:t xml:space="preserve"> C</w:t>
      </w:r>
      <w:r>
        <w:rPr>
          <w:sz w:val="18"/>
        </w:rPr>
        <w:t xml:space="preserve"> (2013)</w:t>
      </w:r>
      <w:r w:rsidRPr="00D9795A">
        <w:rPr>
          <w:sz w:val="18"/>
        </w:rPr>
        <w:t xml:space="preserve">, Volume crossover in deeply </w:t>
      </w:r>
      <w:proofErr w:type="spellStart"/>
      <w:r w:rsidRPr="00D9795A">
        <w:rPr>
          <w:sz w:val="18"/>
        </w:rPr>
        <w:t>supercooled</w:t>
      </w:r>
      <w:proofErr w:type="spellEnd"/>
      <w:r w:rsidRPr="00D9795A">
        <w:rPr>
          <w:sz w:val="18"/>
        </w:rPr>
        <w:t xml:space="preserve"> water adiabatically freezing under isobaric conditions</w:t>
      </w:r>
      <w:r>
        <w:rPr>
          <w:sz w:val="18"/>
        </w:rPr>
        <w:t>, J. Chem. Phys. 138: 184504.</w:t>
      </w:r>
    </w:p>
    <w:p w:rsidR="005973B9" w:rsidRPr="00DD143E" w:rsidRDefault="00D9795A" w:rsidP="00DD143E">
      <w:pPr>
        <w:pStyle w:val="Paragrafoelenco"/>
        <w:numPr>
          <w:ilvl w:val="0"/>
          <w:numId w:val="3"/>
        </w:numPr>
        <w:tabs>
          <w:tab w:val="left" w:pos="384"/>
        </w:tabs>
        <w:spacing w:line="216" w:lineRule="exact"/>
        <w:ind w:right="138"/>
        <w:rPr>
          <w:sz w:val="18"/>
        </w:rPr>
      </w:pPr>
      <w:proofErr w:type="spellStart"/>
      <w:r w:rsidRPr="00DD143E">
        <w:rPr>
          <w:sz w:val="18"/>
        </w:rPr>
        <w:t>Aliotta</w:t>
      </w:r>
      <w:proofErr w:type="spellEnd"/>
      <w:r w:rsidRPr="00DD143E">
        <w:rPr>
          <w:sz w:val="18"/>
        </w:rPr>
        <w:t xml:space="preserve"> F, </w:t>
      </w:r>
      <w:proofErr w:type="spellStart"/>
      <w:r w:rsidRPr="00DD143E">
        <w:rPr>
          <w:sz w:val="18"/>
        </w:rPr>
        <w:t>Gapinski</w:t>
      </w:r>
      <w:proofErr w:type="spellEnd"/>
      <w:r w:rsidRPr="00DD143E">
        <w:rPr>
          <w:sz w:val="18"/>
        </w:rPr>
        <w:t xml:space="preserve"> J, </w:t>
      </w:r>
      <w:proofErr w:type="spellStart"/>
      <w:r w:rsidRPr="00DD143E">
        <w:rPr>
          <w:sz w:val="18"/>
        </w:rPr>
        <w:t>Pochylsk</w:t>
      </w:r>
      <w:r w:rsidR="00DD143E">
        <w:rPr>
          <w:sz w:val="18"/>
        </w:rPr>
        <w:t>i</w:t>
      </w:r>
      <w:proofErr w:type="spellEnd"/>
      <w:r w:rsidRPr="00DD143E">
        <w:rPr>
          <w:sz w:val="18"/>
        </w:rPr>
        <w:t xml:space="preserve"> M, </w:t>
      </w:r>
      <w:proofErr w:type="spellStart"/>
      <w:r w:rsidRPr="00DD143E">
        <w:rPr>
          <w:sz w:val="18"/>
        </w:rPr>
        <w:t>Ponterio</w:t>
      </w:r>
      <w:proofErr w:type="spellEnd"/>
      <w:r w:rsidRPr="00DD143E">
        <w:rPr>
          <w:sz w:val="18"/>
        </w:rPr>
        <w:t xml:space="preserve"> RC, </w:t>
      </w:r>
      <w:proofErr w:type="spellStart"/>
      <w:r w:rsidRPr="00DD143E">
        <w:rPr>
          <w:sz w:val="18"/>
        </w:rPr>
        <w:t>Saija</w:t>
      </w:r>
      <w:proofErr w:type="spellEnd"/>
      <w:r w:rsidRPr="00DD143E">
        <w:rPr>
          <w:sz w:val="18"/>
        </w:rPr>
        <w:t xml:space="preserve"> F, </w:t>
      </w:r>
      <w:proofErr w:type="spellStart"/>
      <w:r w:rsidRPr="00DD143E">
        <w:rPr>
          <w:sz w:val="18"/>
        </w:rPr>
        <w:t>Salvato</w:t>
      </w:r>
      <w:proofErr w:type="spellEnd"/>
      <w:r w:rsidRPr="00DD143E">
        <w:rPr>
          <w:sz w:val="18"/>
        </w:rPr>
        <w:t xml:space="preserve"> G, </w:t>
      </w:r>
      <w:proofErr w:type="spellStart"/>
      <w:r w:rsidRPr="00DD143E">
        <w:rPr>
          <w:sz w:val="18"/>
        </w:rPr>
        <w:t>Vasi</w:t>
      </w:r>
      <w:proofErr w:type="spellEnd"/>
      <w:r w:rsidRPr="00DD143E">
        <w:rPr>
          <w:sz w:val="18"/>
        </w:rPr>
        <w:t xml:space="preserve"> C (2013), </w:t>
      </w:r>
      <w:r w:rsidR="00DD143E" w:rsidRPr="00DD143E">
        <w:rPr>
          <w:sz w:val="18"/>
        </w:rPr>
        <w:t xml:space="preserve">High-frequency propagating density fluctuations in deeply </w:t>
      </w:r>
      <w:proofErr w:type="spellStart"/>
      <w:r w:rsidR="00DD143E" w:rsidRPr="00DD143E">
        <w:rPr>
          <w:sz w:val="18"/>
        </w:rPr>
        <w:t>supercooled</w:t>
      </w:r>
      <w:proofErr w:type="spellEnd"/>
      <w:r w:rsidR="00DD143E" w:rsidRPr="00DD143E">
        <w:rPr>
          <w:sz w:val="18"/>
        </w:rPr>
        <w:t xml:space="preserve"> water: Evidence of a single viscous relaxation</w:t>
      </w:r>
      <w:r w:rsidR="00DD143E">
        <w:rPr>
          <w:sz w:val="18"/>
        </w:rPr>
        <w:t>, Phys. Rev. E 87: 0220303.</w:t>
      </w:r>
    </w:p>
    <w:p w:rsidR="005973B9" w:rsidRPr="00DD143E" w:rsidRDefault="00DD143E" w:rsidP="00DD143E">
      <w:pPr>
        <w:pStyle w:val="Paragrafoelenco"/>
        <w:numPr>
          <w:ilvl w:val="0"/>
          <w:numId w:val="3"/>
        </w:numPr>
        <w:tabs>
          <w:tab w:val="left" w:pos="384"/>
        </w:tabs>
        <w:spacing w:before="92" w:line="218" w:lineRule="exact"/>
        <w:ind w:hanging="283"/>
        <w:rPr>
          <w:lang w:val="it-IT"/>
        </w:rPr>
      </w:pPr>
      <w:r w:rsidRPr="00DD143E">
        <w:rPr>
          <w:sz w:val="18"/>
          <w:lang w:val="it-IT"/>
        </w:rPr>
        <w:t xml:space="preserve">Aliotta F, Calandra P, </w:t>
      </w:r>
      <w:proofErr w:type="spellStart"/>
      <w:r w:rsidRPr="00DD143E">
        <w:rPr>
          <w:sz w:val="18"/>
          <w:lang w:val="it-IT"/>
        </w:rPr>
        <w:t>Pochylski</w:t>
      </w:r>
      <w:proofErr w:type="spellEnd"/>
      <w:r w:rsidRPr="00DD143E">
        <w:rPr>
          <w:sz w:val="18"/>
          <w:lang w:val="it-IT"/>
        </w:rPr>
        <w:t xml:space="preserve"> M, </w:t>
      </w:r>
      <w:proofErr w:type="spellStart"/>
      <w:r w:rsidRPr="00DD143E">
        <w:rPr>
          <w:sz w:val="18"/>
          <w:lang w:val="it-IT"/>
        </w:rPr>
        <w:t>Ponterio</w:t>
      </w:r>
      <w:proofErr w:type="spellEnd"/>
      <w:r w:rsidRPr="00DD143E">
        <w:rPr>
          <w:sz w:val="18"/>
          <w:lang w:val="it-IT"/>
        </w:rPr>
        <w:t xml:space="preserve"> RC Salvato G, Vasi C (2014)</w:t>
      </w:r>
      <w:r w:rsidR="005973B9" w:rsidRPr="00DD143E">
        <w:rPr>
          <w:sz w:val="18"/>
          <w:lang w:val="it-IT"/>
        </w:rPr>
        <w:t xml:space="preserve">, </w:t>
      </w:r>
      <w:r w:rsidRPr="00DD143E">
        <w:rPr>
          <w:sz w:val="18"/>
          <w:lang w:val="it-IT"/>
        </w:rPr>
        <w:t xml:space="preserve">AIP </w:t>
      </w:r>
      <w:proofErr w:type="spellStart"/>
      <w:r w:rsidRPr="00DD143E">
        <w:rPr>
          <w:sz w:val="18"/>
          <w:lang w:val="it-IT"/>
        </w:rPr>
        <w:t>Advances</w:t>
      </w:r>
      <w:proofErr w:type="spellEnd"/>
      <w:r w:rsidRPr="00DD143E">
        <w:rPr>
          <w:sz w:val="18"/>
          <w:lang w:val="it-IT"/>
        </w:rPr>
        <w:t xml:space="preserve"> 4: 097105.</w:t>
      </w:r>
    </w:p>
    <w:p w:rsidR="005973B9" w:rsidRDefault="005973B9" w:rsidP="00FD140E">
      <w:pPr>
        <w:pStyle w:val="Corpotesto"/>
        <w:spacing w:before="85" w:line="216" w:lineRule="exact"/>
        <w:ind w:left="383" w:right="138" w:hanging="284"/>
        <w:jc w:val="both"/>
        <w:rPr>
          <w:rFonts w:ascii="Calibri" w:hAnsi="Calibri"/>
        </w:rPr>
      </w:pPr>
      <w:r>
        <w:rPr>
          <w:rFonts w:ascii="Calibri" w:hAnsi="Calibri"/>
        </w:rPr>
        <w:t xml:space="preserve">5. </w:t>
      </w:r>
      <w:proofErr w:type="spellStart"/>
      <w:r w:rsidR="00DD143E">
        <w:rPr>
          <w:rFonts w:ascii="Calibri" w:hAnsi="Calibri"/>
        </w:rPr>
        <w:t>Aliotta</w:t>
      </w:r>
      <w:proofErr w:type="spellEnd"/>
      <w:r w:rsidR="00DD143E">
        <w:rPr>
          <w:rFonts w:ascii="Calibri" w:hAnsi="Calibri"/>
        </w:rPr>
        <w:t xml:space="preserve"> F, </w:t>
      </w:r>
      <w:proofErr w:type="spellStart"/>
      <w:r w:rsidR="00DD143E">
        <w:rPr>
          <w:rFonts w:ascii="Calibri" w:hAnsi="Calibri"/>
        </w:rPr>
        <w:t>Ponterio</w:t>
      </w:r>
      <w:proofErr w:type="spellEnd"/>
      <w:r w:rsidR="00DD143E">
        <w:rPr>
          <w:rFonts w:ascii="Calibri" w:hAnsi="Calibri"/>
        </w:rPr>
        <w:t xml:space="preserve"> RC, </w:t>
      </w:r>
      <w:proofErr w:type="spellStart"/>
      <w:r w:rsidR="00DD143E">
        <w:rPr>
          <w:rFonts w:ascii="Calibri" w:hAnsi="Calibri"/>
        </w:rPr>
        <w:t>Saija</w:t>
      </w:r>
      <w:proofErr w:type="spellEnd"/>
      <w:r w:rsidR="00DD143E">
        <w:rPr>
          <w:rFonts w:ascii="Calibri" w:hAnsi="Calibri"/>
        </w:rPr>
        <w:t xml:space="preserve"> F, </w:t>
      </w:r>
      <w:proofErr w:type="spellStart"/>
      <w:r w:rsidR="00DD143E">
        <w:rPr>
          <w:rFonts w:ascii="Calibri" w:hAnsi="Calibri"/>
        </w:rPr>
        <w:t>Giaquinta</w:t>
      </w:r>
      <w:proofErr w:type="spellEnd"/>
      <w:r w:rsidR="00DD143E">
        <w:rPr>
          <w:rFonts w:ascii="Calibri" w:hAnsi="Calibri"/>
        </w:rPr>
        <w:t xml:space="preserve"> PV (2017)</w:t>
      </w:r>
      <w:r>
        <w:rPr>
          <w:rFonts w:ascii="Calibri" w:hAnsi="Calibri"/>
          <w:spacing w:val="-5"/>
        </w:rPr>
        <w:t xml:space="preserve">, </w:t>
      </w:r>
      <w:r w:rsidR="00DD143E" w:rsidRPr="00DD143E">
        <w:rPr>
          <w:rFonts w:ascii="Calibri" w:hAnsi="Calibri"/>
        </w:rPr>
        <w:t>Kovacs effect and the relation between glasses</w:t>
      </w:r>
      <w:r w:rsidR="00DD143E">
        <w:rPr>
          <w:rFonts w:ascii="Calibri" w:hAnsi="Calibri"/>
        </w:rPr>
        <w:t xml:space="preserve"> </w:t>
      </w:r>
      <w:r w:rsidR="00DD143E" w:rsidRPr="00DD143E">
        <w:rPr>
          <w:rFonts w:ascii="Calibri" w:hAnsi="Calibri"/>
        </w:rPr>
        <w:t xml:space="preserve">and </w:t>
      </w:r>
      <w:proofErr w:type="spellStart"/>
      <w:r w:rsidR="00DD143E" w:rsidRPr="00DD143E">
        <w:rPr>
          <w:rFonts w:ascii="Calibri" w:hAnsi="Calibri"/>
        </w:rPr>
        <w:t>supercooled</w:t>
      </w:r>
      <w:proofErr w:type="spellEnd"/>
      <w:r w:rsidR="00DD143E" w:rsidRPr="00DD143E">
        <w:rPr>
          <w:rFonts w:ascii="Calibri" w:hAnsi="Calibri"/>
        </w:rPr>
        <w:t xml:space="preserve"> liquids</w:t>
      </w:r>
      <w:r w:rsidR="00DD143E">
        <w:rPr>
          <w:rFonts w:ascii="Calibri" w:hAnsi="Calibri"/>
        </w:rPr>
        <w:t xml:space="preserve">, to appear on </w:t>
      </w:r>
      <w:r w:rsidR="00FD140E" w:rsidRPr="00FD140E">
        <w:rPr>
          <w:rFonts w:ascii="Calibri" w:hAnsi="Calibri"/>
        </w:rPr>
        <w:t xml:space="preserve">Many-body approaches at different scales : a tribute to N. H. March on the </w:t>
      </w:r>
      <w:r w:rsidR="00FD140E">
        <w:rPr>
          <w:rFonts w:ascii="Calibri" w:hAnsi="Calibri"/>
        </w:rPr>
        <w:t xml:space="preserve">occasion of his 90th birthday, edited by </w:t>
      </w:r>
      <w:proofErr w:type="spellStart"/>
      <w:r w:rsidR="00FD140E" w:rsidRPr="00FD140E">
        <w:rPr>
          <w:rFonts w:ascii="Calibri" w:hAnsi="Calibri"/>
        </w:rPr>
        <w:t>Angilella</w:t>
      </w:r>
      <w:proofErr w:type="spellEnd"/>
      <w:r w:rsidR="00FD140E">
        <w:rPr>
          <w:rFonts w:ascii="Calibri" w:hAnsi="Calibri"/>
        </w:rPr>
        <w:t xml:space="preserve"> GGN and </w:t>
      </w:r>
      <w:r w:rsidR="00FD140E" w:rsidRPr="00FD140E">
        <w:rPr>
          <w:rFonts w:ascii="Calibri" w:hAnsi="Calibri"/>
        </w:rPr>
        <w:t xml:space="preserve">, </w:t>
      </w:r>
      <w:proofErr w:type="spellStart"/>
      <w:r w:rsidR="00FD140E" w:rsidRPr="00FD140E">
        <w:rPr>
          <w:rFonts w:ascii="Calibri" w:hAnsi="Calibri"/>
        </w:rPr>
        <w:t>Amovilli</w:t>
      </w:r>
      <w:proofErr w:type="spellEnd"/>
      <w:r w:rsidR="00FD140E">
        <w:rPr>
          <w:rFonts w:ascii="Calibri" w:hAnsi="Calibri"/>
        </w:rPr>
        <w:t xml:space="preserve"> C</w:t>
      </w:r>
      <w:r w:rsidR="00FD140E" w:rsidRPr="00FD140E">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it-IT" w:eastAsia="it-IT"/>
        </w:rPr>
        <w:drawing>
          <wp:inline distT="0" distB="0" distL="0" distR="0" wp14:anchorId="1B650C0E" wp14:editId="0E8C3C7F">
            <wp:extent cx="523676"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23676"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AE3E37" w:rsidRDefault="00FD140E">
      <w:pPr>
        <w:spacing w:before="41" w:line="154" w:lineRule="exact"/>
        <w:ind w:left="213" w:right="231"/>
        <w:jc w:val="both"/>
        <w:rPr>
          <w:rFonts w:ascii="Arial"/>
          <w:sz w:val="14"/>
        </w:rPr>
      </w:pPr>
      <w:r>
        <w:rPr>
          <w:rFonts w:ascii="Arial"/>
          <w:sz w:val="14"/>
        </w:rPr>
        <w:t xml:space="preserve">Francesco </w:t>
      </w:r>
      <w:proofErr w:type="spellStart"/>
      <w:r>
        <w:rPr>
          <w:rFonts w:ascii="Arial"/>
          <w:sz w:val="14"/>
        </w:rPr>
        <w:t>Aliotta</w:t>
      </w:r>
      <w:proofErr w:type="spellEnd"/>
      <w:r w:rsidR="00A9710C">
        <w:rPr>
          <w:rFonts w:ascii="Arial"/>
          <w:sz w:val="14"/>
        </w:rPr>
        <w:t xml:space="preserve"> has h</w:t>
      </w:r>
      <w:r>
        <w:rPr>
          <w:rFonts w:ascii="Arial"/>
          <w:sz w:val="14"/>
        </w:rPr>
        <w:t>is main expertise in the field of Thermodynamics of irreversible processes. In particular he is involved in the investigation of the collective processes emerging when a system is driven out of thermodynamic equilibrium condition. As a collateral activity he is involved in the development of instrumentation for material investigation. As an examp</w:t>
      </w:r>
      <w:r w:rsidR="00293F94">
        <w:rPr>
          <w:rFonts w:ascii="Arial"/>
          <w:sz w:val="14"/>
        </w:rPr>
        <w:t>le, he was the leader of the Italian team which designed and built the energy selective neutron tomography device now installed at the IMAT beam line of ISIS (STFC, UK) and officially inaugurated on October 10, 2016. Actually he take the position of Research Director at IPCF-CNR, Messina, Italy.</w:t>
      </w:r>
    </w:p>
    <w:p w:rsidR="00AE3E37" w:rsidRDefault="00A9710C">
      <w:pPr>
        <w:spacing w:before="62"/>
        <w:ind w:left="4217" w:right="4235"/>
        <w:jc w:val="center"/>
        <w:rPr>
          <w:rFonts w:ascii="Arial"/>
          <w:sz w:val="14"/>
        </w:rPr>
      </w:pPr>
      <w:r>
        <w:rPr>
          <w:rFonts w:ascii="Arial"/>
          <w:sz w:val="14"/>
        </w:rPr>
        <w:t xml:space="preserve">Email: </w:t>
      </w:r>
      <w:r w:rsidR="00293F94" w:rsidRPr="00293F94">
        <w:rPr>
          <w:rFonts w:ascii="Arial"/>
          <w:sz w:val="14"/>
        </w:rPr>
        <w:t>aliotta</w:t>
      </w:r>
      <w:r w:rsidR="00293F94">
        <w:rPr>
          <w:rFonts w:ascii="Arial"/>
          <w:sz w:val="14"/>
        </w:rPr>
        <w:t>@ipcf.cnr.it</w:t>
      </w:r>
    </w:p>
    <w:p w:rsidR="00AE3E37" w:rsidRDefault="00292ED9">
      <w:pPr>
        <w:pStyle w:val="Corpotesto"/>
        <w:spacing w:before="2"/>
        <w:rPr>
          <w:rFonts w:ascii="Arial"/>
          <w:sz w:val="19"/>
        </w:rPr>
      </w:pPr>
      <w:r>
        <w:rPr>
          <w:noProof/>
          <w:lang w:val="it-IT" w:eastAsia="it-IT"/>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7A2" w:rsidRDefault="002267A2">
      <w:r>
        <w:separator/>
      </w:r>
    </w:p>
  </w:endnote>
  <w:endnote w:type="continuationSeparator" w:id="0">
    <w:p w:rsidR="002267A2" w:rsidRDefault="00226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7A2" w:rsidRDefault="002267A2">
      <w:r>
        <w:separator/>
      </w:r>
    </w:p>
  </w:footnote>
  <w:footnote w:type="continuationSeparator" w:id="0">
    <w:p w:rsidR="002267A2" w:rsidRDefault="002267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67A2"/>
    <w:rsid w:val="00292ED9"/>
    <w:rsid w:val="00293F94"/>
    <w:rsid w:val="002A7364"/>
    <w:rsid w:val="00320384"/>
    <w:rsid w:val="00377892"/>
    <w:rsid w:val="00404E5B"/>
    <w:rsid w:val="00414F7B"/>
    <w:rsid w:val="004355DC"/>
    <w:rsid w:val="004749B4"/>
    <w:rsid w:val="00494130"/>
    <w:rsid w:val="004F3523"/>
    <w:rsid w:val="005973B9"/>
    <w:rsid w:val="005B3A56"/>
    <w:rsid w:val="006060CE"/>
    <w:rsid w:val="0063497F"/>
    <w:rsid w:val="006A11DE"/>
    <w:rsid w:val="00713C7A"/>
    <w:rsid w:val="00873DF0"/>
    <w:rsid w:val="008756E6"/>
    <w:rsid w:val="009B2D44"/>
    <w:rsid w:val="00A07E82"/>
    <w:rsid w:val="00A9710C"/>
    <w:rsid w:val="00AE3E37"/>
    <w:rsid w:val="00B21A57"/>
    <w:rsid w:val="00C33602"/>
    <w:rsid w:val="00CD6F55"/>
    <w:rsid w:val="00D9795A"/>
    <w:rsid w:val="00DD143E"/>
    <w:rsid w:val="00DE3104"/>
    <w:rsid w:val="00F72EEA"/>
    <w:rsid w:val="00F84CAE"/>
    <w:rsid w:val="00FD14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2919</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aliotta</cp:lastModifiedBy>
  <cp:revision>2</cp:revision>
  <dcterms:created xsi:type="dcterms:W3CDTF">2017-06-28T12:03:00Z</dcterms:created>
  <dcterms:modified xsi:type="dcterms:W3CDTF">2017-06-28T12:03:00Z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