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A16473" w:rsidP="00494130">
      <w:pPr>
        <w:pStyle w:val="Heading1"/>
        <w:spacing w:before="170"/>
        <w:ind w:left="0"/>
      </w:pPr>
      <w:r>
        <w:rPr>
          <w:color w:val="337AB7"/>
        </w:rPr>
        <w:t>Processing and Characterization of Intercritically Austempered Ductile Iron</w:t>
      </w:r>
      <w:r w:rsidR="00BF31DC">
        <w:rPr>
          <w:color w:val="337AB7"/>
        </w:rPr>
        <w:t xml:space="preserve"> (IADI)</w:t>
      </w:r>
      <w:r>
        <w:rPr>
          <w:color w:val="337AB7"/>
        </w:rPr>
        <w:t xml:space="preserve"> </w:t>
      </w:r>
    </w:p>
    <w:p w:rsidR="005973B9" w:rsidRDefault="00F822BA" w:rsidP="005973B9">
      <w:pPr>
        <w:pStyle w:val="BodyText"/>
        <w:spacing w:before="73" w:line="198" w:lineRule="exact"/>
        <w:ind w:left="100" w:right="5987"/>
        <w:rPr>
          <w:rFonts w:ascii="Arial"/>
        </w:rPr>
      </w:pPr>
      <w:r>
        <w:rPr>
          <w:rFonts w:ascii="Arial"/>
        </w:rPr>
        <w:t>Alan Druschitz, PhD, Virginia Tech, USA</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bookmarkStart w:id="0" w:name="_GoBack"/>
      <w:bookmarkEnd w:id="0"/>
    </w:p>
    <w:p w:rsidR="00AE3E37" w:rsidRDefault="00A9710C">
      <w:pPr>
        <w:pStyle w:val="Heading3"/>
        <w:spacing w:before="147"/>
        <w:jc w:val="both"/>
      </w:pPr>
      <w:r>
        <w:rPr>
          <w:color w:val="BF5A14"/>
        </w:rPr>
        <w:lastRenderedPageBreak/>
        <w:t>Abstract</w:t>
      </w:r>
    </w:p>
    <w:p w:rsidR="00793E05" w:rsidRDefault="00BF31DC" w:rsidP="00F822BA">
      <w:pPr>
        <w:pStyle w:val="Heading3"/>
        <w:spacing w:before="74"/>
        <w:jc w:val="both"/>
        <w:rPr>
          <w:rFonts w:ascii="Tw Cen MT" w:eastAsia="Tw Cen MT" w:hAnsi="Tw Cen MT" w:cs="Tw Cen MT"/>
          <w:b w:val="0"/>
          <w:bCs w:val="0"/>
          <w:sz w:val="18"/>
          <w:szCs w:val="18"/>
        </w:rPr>
      </w:pPr>
      <w:r>
        <w:rPr>
          <w:rFonts w:ascii="Tw Cen MT" w:eastAsia="Tw Cen MT" w:hAnsi="Tw Cen MT" w:cs="Tw Cen MT"/>
          <w:b w:val="0"/>
          <w:bCs w:val="0"/>
          <w:sz w:val="18"/>
          <w:szCs w:val="18"/>
        </w:rPr>
        <w:t>Intercritically austempered ductile iron (IADI) has a microstructure of well-formed graphite nodules in a matrix of ferrite and ausferrite, Figure 1.  This microstructure produces a material that has better strength and ductility compared to ferrite/pearlite microstructures and better ductility</w:t>
      </w:r>
      <w:r w:rsidR="00FD3A0F">
        <w:rPr>
          <w:rFonts w:ascii="Tw Cen MT" w:eastAsia="Tw Cen MT" w:hAnsi="Tw Cen MT" w:cs="Tw Cen MT"/>
          <w:b w:val="0"/>
          <w:bCs w:val="0"/>
          <w:sz w:val="18"/>
          <w:szCs w:val="18"/>
        </w:rPr>
        <w:t>,</w:t>
      </w:r>
      <w:r>
        <w:rPr>
          <w:rFonts w:ascii="Tw Cen MT" w:eastAsia="Tw Cen MT" w:hAnsi="Tw Cen MT" w:cs="Tw Cen MT"/>
          <w:b w:val="0"/>
          <w:bCs w:val="0"/>
          <w:sz w:val="18"/>
          <w:szCs w:val="18"/>
        </w:rPr>
        <w:t xml:space="preserve"> </w:t>
      </w:r>
      <w:r w:rsidR="00FD3A0F">
        <w:rPr>
          <w:rFonts w:ascii="Tw Cen MT" w:eastAsia="Tw Cen MT" w:hAnsi="Tw Cen MT" w:cs="Tw Cen MT"/>
          <w:b w:val="0"/>
          <w:bCs w:val="0"/>
          <w:sz w:val="18"/>
          <w:szCs w:val="18"/>
        </w:rPr>
        <w:t xml:space="preserve">improved </w:t>
      </w:r>
      <w:r>
        <w:rPr>
          <w:rFonts w:ascii="Tw Cen MT" w:eastAsia="Tw Cen MT" w:hAnsi="Tw Cen MT" w:cs="Tw Cen MT"/>
          <w:b w:val="0"/>
          <w:bCs w:val="0"/>
          <w:sz w:val="18"/>
          <w:szCs w:val="18"/>
        </w:rPr>
        <w:t>resistance to environmentally assisted cracking</w:t>
      </w:r>
      <w:r w:rsidR="00FD3A0F">
        <w:rPr>
          <w:rFonts w:ascii="Tw Cen MT" w:eastAsia="Tw Cen MT" w:hAnsi="Tw Cen MT" w:cs="Tw Cen MT"/>
          <w:b w:val="0"/>
          <w:bCs w:val="0"/>
          <w:sz w:val="18"/>
          <w:szCs w:val="18"/>
        </w:rPr>
        <w:t>, and better machinability</w:t>
      </w:r>
      <w:r>
        <w:rPr>
          <w:rFonts w:ascii="Tw Cen MT" w:eastAsia="Tw Cen MT" w:hAnsi="Tw Cen MT" w:cs="Tw Cen MT"/>
          <w:b w:val="0"/>
          <w:bCs w:val="0"/>
          <w:sz w:val="18"/>
          <w:szCs w:val="18"/>
        </w:rPr>
        <w:t xml:space="preserve"> compared to fully </w:t>
      </w:r>
      <w:proofErr w:type="spellStart"/>
      <w:r>
        <w:rPr>
          <w:rFonts w:ascii="Tw Cen MT" w:eastAsia="Tw Cen MT" w:hAnsi="Tw Cen MT" w:cs="Tw Cen MT"/>
          <w:b w:val="0"/>
          <w:bCs w:val="0"/>
          <w:sz w:val="18"/>
          <w:szCs w:val="18"/>
        </w:rPr>
        <w:t>ausferr</w:t>
      </w:r>
      <w:r w:rsidR="004A6702">
        <w:rPr>
          <w:rFonts w:ascii="Tw Cen MT" w:eastAsia="Tw Cen MT" w:hAnsi="Tw Cen MT" w:cs="Tw Cen MT"/>
          <w:b w:val="0"/>
          <w:bCs w:val="0"/>
          <w:sz w:val="18"/>
          <w:szCs w:val="18"/>
        </w:rPr>
        <w:t>i</w:t>
      </w:r>
      <w:r>
        <w:rPr>
          <w:rFonts w:ascii="Tw Cen MT" w:eastAsia="Tw Cen MT" w:hAnsi="Tw Cen MT" w:cs="Tw Cen MT"/>
          <w:b w:val="0"/>
          <w:bCs w:val="0"/>
          <w:sz w:val="18"/>
          <w:szCs w:val="18"/>
        </w:rPr>
        <w:t>tic</w:t>
      </w:r>
      <w:proofErr w:type="spellEnd"/>
      <w:r>
        <w:rPr>
          <w:rFonts w:ascii="Tw Cen MT" w:eastAsia="Tw Cen MT" w:hAnsi="Tw Cen MT" w:cs="Tw Cen MT"/>
          <w:b w:val="0"/>
          <w:bCs w:val="0"/>
          <w:sz w:val="18"/>
          <w:szCs w:val="18"/>
        </w:rPr>
        <w:t xml:space="preserve"> microstructures (conventional austempered ductile iron).</w:t>
      </w:r>
      <w:r w:rsidR="004A6702">
        <w:rPr>
          <w:rFonts w:ascii="Tw Cen MT" w:eastAsia="Tw Cen MT" w:hAnsi="Tw Cen MT" w:cs="Tw Cen MT"/>
          <w:b w:val="0"/>
          <w:bCs w:val="0"/>
          <w:sz w:val="18"/>
          <w:szCs w:val="18"/>
        </w:rPr>
        <w:t xml:space="preserve">  The austenite in the ausferrite particles can undergo transformation induced plasticity but this transformation is a function of particle morphology and chemistry.</w:t>
      </w:r>
      <w:r>
        <w:rPr>
          <w:rFonts w:ascii="Tw Cen MT" w:eastAsia="Tw Cen MT" w:hAnsi="Tw Cen MT" w:cs="Tw Cen MT"/>
          <w:b w:val="0"/>
          <w:bCs w:val="0"/>
          <w:sz w:val="18"/>
          <w:szCs w:val="18"/>
        </w:rPr>
        <w:t xml:space="preserve">  </w:t>
      </w:r>
      <w:r w:rsidR="004A6702">
        <w:rPr>
          <w:rFonts w:ascii="Tw Cen MT" w:eastAsia="Tw Cen MT" w:hAnsi="Tw Cen MT" w:cs="Tw Cen MT"/>
          <w:b w:val="0"/>
          <w:bCs w:val="0"/>
          <w:sz w:val="18"/>
          <w:szCs w:val="18"/>
        </w:rPr>
        <w:t>T</w:t>
      </w:r>
      <w:r>
        <w:rPr>
          <w:rFonts w:ascii="Tw Cen MT" w:eastAsia="Tw Cen MT" w:hAnsi="Tw Cen MT" w:cs="Tw Cen MT"/>
          <w:b w:val="0"/>
          <w:bCs w:val="0"/>
          <w:sz w:val="18"/>
          <w:szCs w:val="18"/>
        </w:rPr>
        <w:t>his microstructure is</w:t>
      </w:r>
      <w:r w:rsidR="004A6702">
        <w:rPr>
          <w:rFonts w:ascii="Tw Cen MT" w:eastAsia="Tw Cen MT" w:hAnsi="Tw Cen MT" w:cs="Tw Cen MT"/>
          <w:b w:val="0"/>
          <w:bCs w:val="0"/>
          <w:sz w:val="18"/>
          <w:szCs w:val="18"/>
        </w:rPr>
        <w:t xml:space="preserve"> also</w:t>
      </w:r>
      <w:r>
        <w:rPr>
          <w:rFonts w:ascii="Tw Cen MT" w:eastAsia="Tw Cen MT" w:hAnsi="Tw Cen MT" w:cs="Tw Cen MT"/>
          <w:b w:val="0"/>
          <w:bCs w:val="0"/>
          <w:sz w:val="18"/>
          <w:szCs w:val="18"/>
        </w:rPr>
        <w:t xml:space="preserve"> a challenge to produce in thick section sizes since the ability to produce ausferrite is a function of cooling rate and chemistry.</w:t>
      </w:r>
      <w:r w:rsidR="004A6702">
        <w:rPr>
          <w:rFonts w:ascii="Tw Cen MT" w:eastAsia="Tw Cen MT" w:hAnsi="Tw Cen MT" w:cs="Tw Cen MT"/>
          <w:b w:val="0"/>
          <w:bCs w:val="0"/>
          <w:sz w:val="18"/>
          <w:szCs w:val="18"/>
        </w:rPr>
        <w:t xml:space="preserve">  The production and characterization of IADI will be discussed</w:t>
      </w:r>
      <w:r>
        <w:rPr>
          <w:rFonts w:ascii="Tw Cen MT" w:eastAsia="Tw Cen MT" w:hAnsi="Tw Cen MT" w:cs="Tw Cen MT"/>
          <w:b w:val="0"/>
          <w:bCs w:val="0"/>
          <w:sz w:val="18"/>
          <w:szCs w:val="18"/>
        </w:rPr>
        <w:t xml:space="preserve"> </w:t>
      </w:r>
      <w:r w:rsidR="004A6702">
        <w:rPr>
          <w:rFonts w:ascii="Tw Cen MT" w:eastAsia="Tw Cen MT" w:hAnsi="Tw Cen MT" w:cs="Tw Cen MT"/>
          <w:b w:val="0"/>
          <w:bCs w:val="0"/>
          <w:sz w:val="18"/>
          <w:szCs w:val="18"/>
        </w:rPr>
        <w:t>in an effort to encourage the further development of this material.</w:t>
      </w:r>
    </w:p>
    <w:p w:rsidR="00793E05" w:rsidRDefault="00793E05" w:rsidP="00F822BA">
      <w:pPr>
        <w:pStyle w:val="Heading3"/>
        <w:spacing w:before="74"/>
        <w:jc w:val="both"/>
        <w:rPr>
          <w:rFonts w:ascii="Tw Cen MT" w:eastAsia="Tw Cen MT" w:hAnsi="Tw Cen MT" w:cs="Tw Cen MT"/>
          <w:b w:val="0"/>
          <w:bCs w:val="0"/>
          <w:sz w:val="18"/>
          <w:szCs w:val="18"/>
        </w:rPr>
      </w:pPr>
    </w:p>
    <w:p w:rsidR="00793E05" w:rsidRDefault="00BB087C" w:rsidP="004D2148">
      <w:pPr>
        <w:pStyle w:val="Heading3"/>
        <w:spacing w:before="74"/>
        <w:jc w:val="center"/>
        <w:rPr>
          <w:rFonts w:ascii="Tw Cen MT" w:eastAsia="Tw Cen MT" w:hAnsi="Tw Cen MT" w:cs="Tw Cen MT"/>
          <w:b w:val="0"/>
          <w:bCs w:val="0"/>
          <w:sz w:val="18"/>
          <w:szCs w:val="18"/>
        </w:rPr>
      </w:pPr>
      <w:r>
        <w:rPr>
          <w:rFonts w:ascii="Tw Cen MT" w:eastAsia="Tw Cen MT" w:hAnsi="Tw Cen MT" w:cs="Tw Cen MT"/>
          <w:b w:val="0"/>
          <w:bCs w:val="0"/>
          <w:noProof/>
          <w:sz w:val="18"/>
          <w:szCs w:val="18"/>
        </w:rPr>
        <mc:AlternateContent>
          <mc:Choice Requires="wpg">
            <w:drawing>
              <wp:anchor distT="0" distB="0" distL="114300" distR="114300" simplePos="0" relativeHeight="251668480" behindDoc="0" locked="0" layoutInCell="1" allowOverlap="1">
                <wp:simplePos x="0" y="0"/>
                <wp:positionH relativeFrom="column">
                  <wp:posOffset>242404</wp:posOffset>
                </wp:positionH>
                <wp:positionV relativeFrom="paragraph">
                  <wp:posOffset>33903</wp:posOffset>
                </wp:positionV>
                <wp:extent cx="2683565" cy="1098081"/>
                <wp:effectExtent l="0" t="0" r="21590" b="64135"/>
                <wp:wrapNone/>
                <wp:docPr id="16" name="Group 16"/>
                <wp:cNvGraphicFramePr/>
                <a:graphic xmlns:a="http://schemas.openxmlformats.org/drawingml/2006/main">
                  <a:graphicData uri="http://schemas.microsoft.com/office/word/2010/wordprocessingGroup">
                    <wpg:wgp>
                      <wpg:cNvGrpSpPr/>
                      <wpg:grpSpPr>
                        <a:xfrm>
                          <a:off x="0" y="0"/>
                          <a:ext cx="2683565" cy="1098081"/>
                          <a:chOff x="0" y="0"/>
                          <a:chExt cx="2683565" cy="1098081"/>
                        </a:xfrm>
                      </wpg:grpSpPr>
                      <wps:wsp>
                        <wps:cNvPr id="307" name="Text Box 2"/>
                        <wps:cNvSpPr txBox="1">
                          <a:spLocks noChangeArrowheads="1"/>
                        </wps:cNvSpPr>
                        <wps:spPr bwMode="auto">
                          <a:xfrm>
                            <a:off x="0" y="298129"/>
                            <a:ext cx="567054" cy="253364"/>
                          </a:xfrm>
                          <a:prstGeom prst="rect">
                            <a:avLst/>
                          </a:prstGeom>
                          <a:solidFill>
                            <a:srgbClr val="FFFFFF"/>
                          </a:solidFill>
                          <a:ln w="9525">
                            <a:solidFill>
                              <a:srgbClr val="000000"/>
                            </a:solidFill>
                            <a:miter lim="800000"/>
                            <a:headEnd/>
                            <a:tailEnd/>
                          </a:ln>
                        </wps:spPr>
                        <wps:txbx>
                          <w:txbxContent>
                            <w:p w:rsidR="00BB087C" w:rsidRDefault="00BB087C">
                              <w:proofErr w:type="gramStart"/>
                              <w:r>
                                <w:t>ferrite</w:t>
                              </w:r>
                              <w:proofErr w:type="gramEnd"/>
                            </w:p>
                          </w:txbxContent>
                        </wps:txbx>
                        <wps:bodyPr rot="0" vert="horz" wrap="square" lIns="91440" tIns="45720" rIns="91440" bIns="45720" anchor="t" anchorCtr="0">
                          <a:spAutoFit/>
                        </wps:bodyPr>
                      </wps:wsp>
                      <wps:wsp>
                        <wps:cNvPr id="2" name="Straight Arrow Connector 2"/>
                        <wps:cNvCnPr/>
                        <wps:spPr>
                          <a:xfrm>
                            <a:off x="824948" y="964096"/>
                            <a:ext cx="258445" cy="133985"/>
                          </a:xfrm>
                          <a:prstGeom prst="straightConnector1">
                            <a:avLst/>
                          </a:prstGeom>
                          <a:ln w="2540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3" name="Text Box 2"/>
                        <wps:cNvSpPr txBox="1">
                          <a:spLocks noChangeArrowheads="1"/>
                        </wps:cNvSpPr>
                        <wps:spPr bwMode="auto">
                          <a:xfrm>
                            <a:off x="0" y="815009"/>
                            <a:ext cx="824948" cy="278296"/>
                          </a:xfrm>
                          <a:prstGeom prst="rect">
                            <a:avLst/>
                          </a:prstGeom>
                          <a:solidFill>
                            <a:srgbClr val="FFFFFF"/>
                          </a:solidFill>
                          <a:ln w="9525">
                            <a:solidFill>
                              <a:srgbClr val="000000"/>
                            </a:solidFill>
                            <a:miter lim="800000"/>
                            <a:headEnd/>
                            <a:tailEnd/>
                          </a:ln>
                        </wps:spPr>
                        <wps:txbx>
                          <w:txbxContent>
                            <w:p w:rsidR="00BB087C" w:rsidRDefault="00BB087C" w:rsidP="00BB087C">
                              <w:proofErr w:type="gramStart"/>
                              <w:r>
                                <w:t>aus</w:t>
                              </w:r>
                              <w:r>
                                <w:t>ferrite</w:t>
                              </w:r>
                              <w:proofErr w:type="gramEnd"/>
                            </w:p>
                          </w:txbxContent>
                        </wps:txbx>
                        <wps:bodyPr rot="0" vert="horz" wrap="square" lIns="91440" tIns="45720" rIns="91440" bIns="45720" anchor="t" anchorCtr="0">
                          <a:noAutofit/>
                        </wps:bodyPr>
                      </wps:wsp>
                      <wps:wsp>
                        <wps:cNvPr id="4" name="Straight Arrow Connector 4"/>
                        <wps:cNvCnPr/>
                        <wps:spPr>
                          <a:xfrm>
                            <a:off x="566531" y="417444"/>
                            <a:ext cx="258445" cy="133985"/>
                          </a:xfrm>
                          <a:prstGeom prst="straightConnector1">
                            <a:avLst/>
                          </a:prstGeom>
                          <a:ln w="25400">
                            <a:solidFill>
                              <a:schemeClr val="tx1"/>
                            </a:solidFill>
                            <a:tailEnd type="oval"/>
                          </a:ln>
                        </wps:spPr>
                        <wps:style>
                          <a:lnRef idx="1">
                            <a:schemeClr val="accent1"/>
                          </a:lnRef>
                          <a:fillRef idx="0">
                            <a:schemeClr val="accent1"/>
                          </a:fillRef>
                          <a:effectRef idx="0">
                            <a:schemeClr val="accent1"/>
                          </a:effectRef>
                          <a:fontRef idx="minor">
                            <a:schemeClr val="tx1"/>
                          </a:fontRef>
                        </wps:style>
                        <wps:bodyPr/>
                      </wps:wsp>
                      <wps:wsp>
                        <wps:cNvPr id="5" name="Text Box 2"/>
                        <wps:cNvSpPr txBox="1">
                          <a:spLocks noChangeArrowheads="1"/>
                        </wps:cNvSpPr>
                        <wps:spPr bwMode="auto">
                          <a:xfrm>
                            <a:off x="1590261" y="0"/>
                            <a:ext cx="1093304" cy="288234"/>
                          </a:xfrm>
                          <a:prstGeom prst="rect">
                            <a:avLst/>
                          </a:prstGeom>
                          <a:solidFill>
                            <a:srgbClr val="FFFFFF"/>
                          </a:solidFill>
                          <a:ln w="9525">
                            <a:solidFill>
                              <a:srgbClr val="000000"/>
                            </a:solidFill>
                            <a:miter lim="800000"/>
                            <a:headEnd/>
                            <a:tailEnd/>
                          </a:ln>
                        </wps:spPr>
                        <wps:txbx>
                          <w:txbxContent>
                            <w:p w:rsidR="00BB087C" w:rsidRDefault="00BB087C" w:rsidP="00BB087C">
                              <w:proofErr w:type="gramStart"/>
                              <w:r>
                                <w:t>graphite</w:t>
                              </w:r>
                              <w:proofErr w:type="gramEnd"/>
                              <w:r>
                                <w:t xml:space="preserve"> nodule</w:t>
                              </w:r>
                            </w:p>
                            <w:p w:rsidR="00BB087C" w:rsidRDefault="00BB087C" w:rsidP="00BB087C"/>
                          </w:txbxContent>
                        </wps:txbx>
                        <wps:bodyPr rot="0" vert="horz" wrap="square" lIns="91440" tIns="45720" rIns="91440" bIns="45720" anchor="t" anchorCtr="0">
                          <a:noAutofit/>
                        </wps:bodyPr>
                      </wps:wsp>
                      <wps:wsp>
                        <wps:cNvPr id="12" name="Straight Arrow Connector 12"/>
                        <wps:cNvCnPr/>
                        <wps:spPr>
                          <a:xfrm>
                            <a:off x="2117035" y="288235"/>
                            <a:ext cx="59635" cy="387626"/>
                          </a:xfrm>
                          <a:prstGeom prst="straightConnector1">
                            <a:avLst/>
                          </a:prstGeom>
                          <a:ln w="25400">
                            <a:solidFill>
                              <a:schemeClr val="tx1"/>
                            </a:solidFill>
                            <a:tailEnd type="oval"/>
                          </a:ln>
                        </wps:spPr>
                        <wps:style>
                          <a:lnRef idx="1">
                            <a:schemeClr val="accent1"/>
                          </a:lnRef>
                          <a:fillRef idx="0">
                            <a:schemeClr val="accent1"/>
                          </a:fillRef>
                          <a:effectRef idx="0">
                            <a:schemeClr val="accent1"/>
                          </a:effectRef>
                          <a:fontRef idx="minor">
                            <a:schemeClr val="tx1"/>
                          </a:fontRef>
                        </wps:style>
                        <wps:bodyPr/>
                      </wps:wsp>
                    </wpg:wgp>
                  </a:graphicData>
                </a:graphic>
              </wp:anchor>
            </w:drawing>
          </mc:Choice>
          <mc:Fallback>
            <w:pict>
              <v:group id="Group 16" o:spid="_x0000_s1026" style="position:absolute;left:0;text-align:left;margin-left:19.1pt;margin-top:2.65pt;width:211.3pt;height:86.45pt;z-index:251668480" coordsize="26835,109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">
                <v:shapetype id="_x0000_t202" coordsize="21600,21600" o:spt="202" path="m,l,21600r21600,l21600,xe">
                  <v:stroke joinstyle="miter"/>
                  <v:path gradientshapeok="t" o:connecttype="rect"/>
                </v:shapetype>
                <v:shape id="_x0000_s1027" type="#_x0000_t202" style="position:absolute;top:2981;width:5670;height:253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H37LMYA&#10;AADcAAAADwAAAGRycy9kb3ducmV2LnhtbESPT2sCMRTE74V+h/AK3jTbirZsjSKK0Jt/Wijenslz&#10;s7h52W7SdfXTG6HQ4zAzv2Ems85VoqUmlJ4VPA8yEMTam5ILBV+fq/4biBCRDVaeScGFAsymjw8T&#10;zI0/85baXSxEgnDIUYGNsc6lDNqSwzDwNXHyjr5xGJNsCmkaPCe4q+RLlo2lw5LTgsWaFpb0affr&#10;FITl5qfWx83hZM3lul62I/292ivVe+rm7yAidfE//Nf+MAqG2Svcz6QjIKc3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pH37LMYAAADcAAAADwAAAAAAAAAAAAAAAACYAgAAZHJz&#10;L2Rvd25yZXYueG1sUEsFBgAAAAAEAAQA9QAAAIsDAAAAAA==&#10;">
                  <v:textbox style="mso-fit-shape-to-text:t">
                    <w:txbxContent>
                      <w:p w:rsidR="00BB087C" w:rsidRDefault="00BB087C">
                        <w:proofErr w:type="gramStart"/>
                        <w:r>
                          <w:t>ferrite</w:t>
                        </w:r>
                        <w:proofErr w:type="gramEnd"/>
                      </w:p>
                    </w:txbxContent>
                  </v:textbox>
                </v:shape>
                <v:shapetype id="_x0000_t32" coordsize="21600,21600" o:spt="32" o:oned="t" path="m,l21600,21600e" filled="f">
                  <v:path arrowok="t" fillok="f" o:connecttype="none"/>
                  <o:lock v:ext="edit" shapetype="t"/>
                </v:shapetype>
                <v:shape id="Straight Arrow Connector 2" o:spid="_x0000_s1028" type="#_x0000_t32" style="position:absolute;left:8249;top:9640;width:2584;height:134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YmTo8AAAADaAAAADwAAAGRycy9kb3ducmV2LnhtbESPT4vCMBTE78J+h/AEb5paQaQaRVwX&#10;9iCIf/D8aJ5NsXkpSdTufnqzsOBxmJnfMItVZxvxIB9qxwrGowwEcel0zZWC8+lrOAMRIrLGxjEp&#10;+KEAq+VHb4GFdk8+0OMYK5EgHApUYGJsCylDachiGLmWOHlX5y3GJH0ltcdngttG5lk2lRZrTgsG&#10;W9oYKm/Hu00UMtwcTtvdZK/z+vPqL79RX5Qa9Lv1HESkLr7D/+1vrSCHvyvpBsjlCw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LmJk6PAAAAA2gAAAA8AAAAAAAAAAAAAAAAA&#10;oQIAAGRycy9kb3ducmV2LnhtbFBLBQYAAAAABAAEAPkAAACOAwAAAAA=&#10;" strokecolor="black [3213]" strokeweight="2pt">
                  <v:stroke endarrow="block"/>
                </v:shape>
                <v:shape id="_x0000_s1029" type="#_x0000_t202" style="position:absolute;top:8150;width:8249;height:278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WKDhcQA&#10;AADaAAAADwAAAGRycy9kb3ducmV2LnhtbESPT2sCMRTE74V+h/AKvRQ3WxW1W6OI0GJvVkWvj83b&#10;P3Tzsibpun57UxB6HGbmN8x82ZtGdOR8bVnBa5KCIM6trrlUcNh/DGYgfEDW2FgmBVfysFw8Pswx&#10;0/bC39TtQikihH2GCqoQ2kxKn1dk0Ce2JY5eYZ3BEKUrpXZ4iXDTyGGaTqTBmuNChS2tK8p/dr9G&#10;wWy86U7+a7Q95pOieQsv0+7z7JR6fupX7yAC9eE/fG9vtIIR/F2JN0Aub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lig4XEAAAA2gAAAA8AAAAAAAAAAAAAAAAAmAIAAGRycy9k&#10;b3ducmV2LnhtbFBLBQYAAAAABAAEAPUAAACJAwAAAAA=&#10;">
                  <v:textbox>
                    <w:txbxContent>
                      <w:p w:rsidR="00BB087C" w:rsidRDefault="00BB087C" w:rsidP="00BB087C">
                        <w:proofErr w:type="gramStart"/>
                        <w:r>
                          <w:t>aus</w:t>
                        </w:r>
                        <w:r>
                          <w:t>ferrite</w:t>
                        </w:r>
                        <w:proofErr w:type="gramEnd"/>
                      </w:p>
                    </w:txbxContent>
                  </v:textbox>
                </v:shape>
                <v:shape id="Straight Arrow Connector 4" o:spid="_x0000_s1030" type="#_x0000_t32" style="position:absolute;left:5665;top:4174;width:2584;height:134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otWC8UAAADaAAAADwAAAGRycy9kb3ducmV2LnhtbESPQWvCQBSE70L/w/IKvZlNRURSV7GV&#10;Qg+KGFuxt9fsMwnNvg3ZrYn59a4g9DjMzDfMbNGZSpypcaVlBc9RDII4s7rkXMHn/n04BeE8ssbK&#10;Mim4kIPF/GEww0Tblnd0Tn0uAoRdggoK7+tESpcVZNBFtiYO3sk2Bn2QTS51g22Am0qO4ngiDZYc&#10;Fgqs6a2g7Df9Mwq+11/jLfWrZb9/PaUb93Poj61R6umxW76A8NT5//C9/aEVjOF2JdwAOb8C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xotWC8UAAADaAAAADwAAAAAAAAAA&#10;AAAAAAChAgAAZHJzL2Rvd25yZXYueG1sUEsFBgAAAAAEAAQA+QAAAJMDAAAAAA==&#10;" strokecolor="black [3213]" strokeweight="2pt">
                  <v:stroke endarrow="oval"/>
                </v:shape>
                <v:shape id="_x0000_s1031" type="#_x0000_t202" style="position:absolute;left:15902;width:10933;height:288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ce+asQA&#10;AADaAAAADwAAAGRycy9kb3ducmV2LnhtbESPT2sCMRTE70K/Q3gFL0Wz1Vbt1igiKHqrf7DXx+a5&#10;u3Tzsk3iun57Uyh4HGbmN8x03ppKNOR8aVnBaz8BQZxZXXKu4HhY9SYgfEDWWFkmBTfyMJ89daaY&#10;anvlHTX7kIsIYZ+igiKEOpXSZwUZ9H1bE0fvbJ3BEKXLpXZ4jXBTyUGSjKTBkuNCgTUtC8p+9hej&#10;YPK2ab79dvh1ykbn6iO8jJv1r1Oq+9wuPkEEasMj/N/eaAXv8Hcl3gA5uw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nHvmrEAAAA2gAAAA8AAAAAAAAAAAAAAAAAmAIAAGRycy9k&#10;b3ducmV2LnhtbFBLBQYAAAAABAAEAPUAAACJAwAAAAA=&#10;">
                  <v:textbox>
                    <w:txbxContent>
                      <w:p w:rsidR="00BB087C" w:rsidRDefault="00BB087C" w:rsidP="00BB087C">
                        <w:proofErr w:type="gramStart"/>
                        <w:r>
                          <w:t>graphite</w:t>
                        </w:r>
                        <w:proofErr w:type="gramEnd"/>
                        <w:r>
                          <w:t xml:space="preserve"> nodule</w:t>
                        </w:r>
                      </w:p>
                      <w:p w:rsidR="00BB087C" w:rsidRDefault="00BB087C" w:rsidP="00BB087C"/>
                    </w:txbxContent>
                  </v:textbox>
                </v:shape>
                <v:shape id="Straight Arrow Connector 12" o:spid="_x0000_s1032" type="#_x0000_t32" style="position:absolute;left:21170;top:2882;width:596;height:3876;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YQjAcQAAADbAAAADwAAAGRycy9kb3ducmV2LnhtbERPS2vCQBC+F/wPywi91Y0ipURX8YHg&#10;oaU0PtDbmB2TYHY2ZLcmza/vFgre5uN7znTemlLcqXaFZQXDQQSCOLW64EzBfrd5eQPhPLLG0jIp&#10;+CEH81nvaYqxtg1/0T3xmQgh7GJUkHtfxVK6NCeDbmAr4sBdbW3QB1hnUtfYhHBTylEUvUqDBYeG&#10;HCta5ZTekm+j4Px+GH9St150u+U1+XCXY3dqjFLP/XYxAeGp9Q/xv3urw/wR/P0SDpCzX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xhCMBxAAAANsAAAAPAAAAAAAAAAAA&#10;AAAAAKECAABkcnMvZG93bnJldi54bWxQSwUGAAAAAAQABAD5AAAAkgMAAAAA&#10;" strokecolor="black [3213]" strokeweight="2pt">
                  <v:stroke endarrow="oval"/>
                </v:shape>
              </v:group>
            </w:pict>
          </mc:Fallback>
        </mc:AlternateContent>
      </w:r>
      <w:r w:rsidR="00A16473">
        <w:rPr>
          <w:rFonts w:ascii="Tw Cen MT" w:eastAsia="Tw Cen MT" w:hAnsi="Tw Cen MT" w:cs="Tw Cen MT"/>
          <w:b w:val="0"/>
          <w:bCs w:val="0"/>
          <w:noProof/>
          <w:sz w:val="18"/>
          <w:szCs w:val="18"/>
        </w:rPr>
        <w:drawing>
          <wp:inline distT="0" distB="0" distL="0" distR="0" wp14:anchorId="7237A40A">
            <wp:extent cx="2883535" cy="2145665"/>
            <wp:effectExtent l="0" t="0" r="0" b="698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883535" cy="2145665"/>
                    </a:xfrm>
                    <a:prstGeom prst="rect">
                      <a:avLst/>
                    </a:prstGeom>
                    <a:noFill/>
                  </pic:spPr>
                </pic:pic>
              </a:graphicData>
            </a:graphic>
          </wp:inline>
        </w:drawing>
      </w:r>
    </w:p>
    <w:p w:rsidR="004D2148" w:rsidRDefault="00793E05" w:rsidP="00793E05">
      <w:pPr>
        <w:pStyle w:val="Heading3"/>
        <w:spacing w:before="74"/>
        <w:jc w:val="both"/>
        <w:rPr>
          <w:b w:val="0"/>
        </w:rPr>
      </w:pPr>
      <w:proofErr w:type="gramStart"/>
      <w:r>
        <w:rPr>
          <w:rFonts w:ascii="Tw Cen MT" w:eastAsia="Tw Cen MT" w:hAnsi="Tw Cen MT" w:cs="Tw Cen MT"/>
          <w:b w:val="0"/>
          <w:bCs w:val="0"/>
          <w:sz w:val="18"/>
          <w:szCs w:val="18"/>
        </w:rPr>
        <w:t>Figure 1.</w:t>
      </w:r>
      <w:proofErr w:type="gramEnd"/>
      <w:r>
        <w:rPr>
          <w:rFonts w:ascii="Tw Cen MT" w:eastAsia="Tw Cen MT" w:hAnsi="Tw Cen MT" w:cs="Tw Cen MT"/>
          <w:b w:val="0"/>
          <w:bCs w:val="0"/>
          <w:sz w:val="18"/>
          <w:szCs w:val="18"/>
        </w:rPr>
        <w:t xml:space="preserve">  </w:t>
      </w:r>
      <w:proofErr w:type="gramStart"/>
      <w:r w:rsidR="00A16473">
        <w:rPr>
          <w:rFonts w:ascii="Tw Cen MT" w:eastAsia="Tw Cen MT" w:hAnsi="Tw Cen MT" w:cs="Tw Cen MT"/>
          <w:b w:val="0"/>
          <w:bCs w:val="0"/>
          <w:sz w:val="18"/>
          <w:szCs w:val="18"/>
        </w:rPr>
        <w:t>Microstructure of Intercritically Aust</w:t>
      </w:r>
      <w:r w:rsidR="00BF31DC">
        <w:rPr>
          <w:rFonts w:ascii="Tw Cen MT" w:eastAsia="Tw Cen MT" w:hAnsi="Tw Cen MT" w:cs="Tw Cen MT"/>
          <w:b w:val="0"/>
          <w:bCs w:val="0"/>
          <w:sz w:val="18"/>
          <w:szCs w:val="18"/>
        </w:rPr>
        <w:t>empered Ductile Iro</w:t>
      </w:r>
      <w:r w:rsidR="00A16473">
        <w:rPr>
          <w:rFonts w:ascii="Tw Cen MT" w:eastAsia="Tw Cen MT" w:hAnsi="Tw Cen MT" w:cs="Tw Cen MT"/>
          <w:b w:val="0"/>
          <w:bCs w:val="0"/>
          <w:sz w:val="18"/>
          <w:szCs w:val="18"/>
        </w:rPr>
        <w:t>n Showing Well-Formed Graphite Nodules in a Matrix of</w:t>
      </w:r>
      <w:r w:rsidR="00BF31DC">
        <w:rPr>
          <w:rFonts w:ascii="Tw Cen MT" w:eastAsia="Tw Cen MT" w:hAnsi="Tw Cen MT" w:cs="Tw Cen MT"/>
          <w:b w:val="0"/>
          <w:bCs w:val="0"/>
          <w:sz w:val="18"/>
          <w:szCs w:val="18"/>
        </w:rPr>
        <w:t xml:space="preserve"> Ferrite and Ausferrite</w:t>
      </w:r>
      <w:r>
        <w:rPr>
          <w:rFonts w:ascii="Tw Cen MT" w:eastAsia="Tw Cen MT" w:hAnsi="Tw Cen MT" w:cs="Tw Cen MT"/>
          <w:b w:val="0"/>
          <w:bCs w:val="0"/>
          <w:sz w:val="18"/>
          <w:szCs w:val="18"/>
        </w:rPr>
        <w:t>.</w:t>
      </w:r>
      <w:proofErr w:type="gramEnd"/>
      <w:r w:rsidR="00C861EB">
        <w:rPr>
          <w:b w:val="0"/>
        </w:rPr>
        <w:br w:type="column"/>
      </w:r>
    </w:p>
    <w:p w:rsidR="005973B9" w:rsidRPr="004D2148" w:rsidRDefault="00C861EB" w:rsidP="00793E05">
      <w:pPr>
        <w:pStyle w:val="Heading3"/>
        <w:spacing w:before="74"/>
        <w:jc w:val="both"/>
      </w:pPr>
      <w:r w:rsidRPr="004D2148">
        <w:rPr>
          <w:color w:val="BF5A14"/>
        </w:rPr>
        <w:t>Recent Publications</w:t>
      </w:r>
    </w:p>
    <w:p w:rsidR="005973B9" w:rsidRDefault="00C861EB" w:rsidP="00C06A57">
      <w:pPr>
        <w:pStyle w:val="ListParagraph"/>
        <w:numPr>
          <w:ilvl w:val="0"/>
          <w:numId w:val="3"/>
        </w:numPr>
        <w:tabs>
          <w:tab w:val="left" w:pos="384"/>
        </w:tabs>
        <w:ind w:left="389" w:hanging="288"/>
        <w:rPr>
          <w:sz w:val="18"/>
        </w:rPr>
      </w:pPr>
      <w:r>
        <w:rPr>
          <w:sz w:val="18"/>
        </w:rPr>
        <w:t xml:space="preserve">A.P Druschitz, </w:t>
      </w:r>
      <w:r w:rsidR="00A16473">
        <w:rPr>
          <w:sz w:val="18"/>
        </w:rPr>
        <w:t>P. Kim, “The Hardenability of Ausferrite for Intercritically Austempered Ductile Iron,” ADI World Conference Proceedings, Atlanta, GA (2016).</w:t>
      </w:r>
    </w:p>
    <w:p w:rsidR="005E7435" w:rsidRPr="00A16473" w:rsidRDefault="00A16473" w:rsidP="00A16473">
      <w:pPr>
        <w:pStyle w:val="ListParagraph"/>
        <w:numPr>
          <w:ilvl w:val="0"/>
          <w:numId w:val="3"/>
        </w:numPr>
        <w:rPr>
          <w:sz w:val="18"/>
        </w:rPr>
      </w:pPr>
      <w:r w:rsidRPr="00A16473">
        <w:rPr>
          <w:sz w:val="18"/>
        </w:rPr>
        <w:t>A. Druschitz, M. Ostrander, R. Aristizabal, “The science of intercritically austempered ductile iron,” International Foundry Research/</w:t>
      </w:r>
      <w:proofErr w:type="spellStart"/>
      <w:r w:rsidRPr="00A16473">
        <w:rPr>
          <w:sz w:val="18"/>
        </w:rPr>
        <w:t>Giessereiforschung</w:t>
      </w:r>
      <w:proofErr w:type="spellEnd"/>
      <w:r w:rsidRPr="00A16473">
        <w:rPr>
          <w:sz w:val="18"/>
        </w:rPr>
        <w:t xml:space="preserve"> 66 (2014) No. 4, pp. 30-42.</w:t>
      </w:r>
    </w:p>
    <w:p w:rsidR="00A16473" w:rsidRPr="00A16473" w:rsidRDefault="00A16473" w:rsidP="00A16473">
      <w:pPr>
        <w:pStyle w:val="ListParagraph"/>
        <w:numPr>
          <w:ilvl w:val="0"/>
          <w:numId w:val="3"/>
        </w:numPr>
        <w:rPr>
          <w:sz w:val="18"/>
        </w:rPr>
      </w:pPr>
      <w:r w:rsidRPr="00A16473">
        <w:rPr>
          <w:sz w:val="18"/>
        </w:rPr>
        <w:t>A.P Druschitz, R. Aristizabal, M. Ostrander, “Advanced Heat Treatments for Ferrous Alloys,” SAE Technical Paper #2013-01-0950, Society of Automotive Engineers, Warrendale, PA (2013).</w:t>
      </w:r>
    </w:p>
    <w:p w:rsidR="00A16473" w:rsidRPr="00A16473" w:rsidRDefault="00A16473" w:rsidP="00A16473">
      <w:pPr>
        <w:pStyle w:val="ListParagraph"/>
        <w:numPr>
          <w:ilvl w:val="0"/>
          <w:numId w:val="3"/>
        </w:numPr>
        <w:rPr>
          <w:sz w:val="18"/>
        </w:rPr>
      </w:pPr>
      <w:r w:rsidRPr="00A16473">
        <w:rPr>
          <w:sz w:val="18"/>
        </w:rPr>
        <w:t>R. Aristizabal, R. Foley, A. Druschitz, “Intercritically Austempered Quenched and Tempered Ductile Iron,” International Journal of Metalcasting, American Foundry Society, Vol. 6, Issue 4 (2012) pp. 7-14.</w:t>
      </w:r>
    </w:p>
    <w:p w:rsidR="00A16473" w:rsidRPr="00A16473" w:rsidRDefault="00A16473" w:rsidP="00A16473">
      <w:pPr>
        <w:pStyle w:val="ListParagraph"/>
        <w:numPr>
          <w:ilvl w:val="0"/>
          <w:numId w:val="3"/>
        </w:numPr>
        <w:rPr>
          <w:sz w:val="18"/>
        </w:rPr>
      </w:pPr>
      <w:r w:rsidRPr="00A16473">
        <w:rPr>
          <w:sz w:val="18"/>
        </w:rPr>
        <w:t>A.P. Druschitz, R.E. Aristizabal, E. Druschitz, C.R. Hubbard, T.R. Watkins, L. Walker, M. Ostrander, “In-Situ Studies of Intercritically Austempered Ductile Iron (IADI) Using Neutron Diffraction,” Met Trans A, Vol. 43, No. 5 (2012) pp.1468-1476.</w:t>
      </w:r>
    </w:p>
    <w:p w:rsidR="00A16473" w:rsidRDefault="00A16473" w:rsidP="00A16473">
      <w:pPr>
        <w:pStyle w:val="ListParagraph"/>
        <w:numPr>
          <w:ilvl w:val="0"/>
          <w:numId w:val="3"/>
        </w:numPr>
        <w:rPr>
          <w:sz w:val="18"/>
        </w:rPr>
      </w:pPr>
      <w:r w:rsidRPr="00A16473">
        <w:rPr>
          <w:sz w:val="18"/>
        </w:rPr>
        <w:t xml:space="preserve">A.P. Druschitz, H. Folz, D. </w:t>
      </w:r>
      <w:proofErr w:type="spellStart"/>
      <w:r w:rsidRPr="00A16473">
        <w:rPr>
          <w:sz w:val="18"/>
        </w:rPr>
        <w:t>Devor</w:t>
      </w:r>
      <w:proofErr w:type="spellEnd"/>
      <w:r w:rsidRPr="00A16473">
        <w:rPr>
          <w:sz w:val="18"/>
        </w:rPr>
        <w:t xml:space="preserve">, S. Kapoor, A. </w:t>
      </w:r>
      <w:proofErr w:type="spellStart"/>
      <w:r w:rsidRPr="00A16473">
        <w:rPr>
          <w:sz w:val="18"/>
        </w:rPr>
        <w:t>Balasubramanian</w:t>
      </w:r>
      <w:proofErr w:type="spellEnd"/>
      <w:r w:rsidRPr="00A16473">
        <w:rPr>
          <w:sz w:val="18"/>
        </w:rPr>
        <w:t xml:space="preserve">, K. </w:t>
      </w:r>
      <w:proofErr w:type="spellStart"/>
      <w:r w:rsidRPr="00A16473">
        <w:rPr>
          <w:sz w:val="18"/>
        </w:rPr>
        <w:t>Bronk</w:t>
      </w:r>
      <w:proofErr w:type="spellEnd"/>
      <w:r w:rsidRPr="00A16473">
        <w:rPr>
          <w:sz w:val="18"/>
        </w:rPr>
        <w:t xml:space="preserve">, J. </w:t>
      </w:r>
      <w:proofErr w:type="spellStart"/>
      <w:r w:rsidRPr="00A16473">
        <w:rPr>
          <w:sz w:val="18"/>
        </w:rPr>
        <w:t>Bussema</w:t>
      </w:r>
      <w:proofErr w:type="spellEnd"/>
      <w:r w:rsidRPr="00A16473">
        <w:rPr>
          <w:sz w:val="18"/>
        </w:rPr>
        <w:t xml:space="preserve">, M. </w:t>
      </w:r>
      <w:proofErr w:type="spellStart"/>
      <w:r w:rsidRPr="00A16473">
        <w:rPr>
          <w:sz w:val="18"/>
        </w:rPr>
        <w:t>Glowik</w:t>
      </w:r>
      <w:proofErr w:type="spellEnd"/>
      <w:r w:rsidRPr="00A16473">
        <w:rPr>
          <w:sz w:val="18"/>
        </w:rPr>
        <w:t xml:space="preserve">, N. </w:t>
      </w:r>
      <w:proofErr w:type="spellStart"/>
      <w:r w:rsidRPr="00A16473">
        <w:rPr>
          <w:sz w:val="18"/>
        </w:rPr>
        <w:t>Malkewicz</w:t>
      </w:r>
      <w:proofErr w:type="spellEnd"/>
      <w:r w:rsidRPr="00A16473">
        <w:rPr>
          <w:sz w:val="18"/>
        </w:rPr>
        <w:t xml:space="preserve">, S. </w:t>
      </w:r>
      <w:proofErr w:type="spellStart"/>
      <w:r w:rsidRPr="00A16473">
        <w:rPr>
          <w:sz w:val="18"/>
        </w:rPr>
        <w:t>Etling</w:t>
      </w:r>
      <w:proofErr w:type="spellEnd"/>
      <w:r w:rsidRPr="00A16473">
        <w:rPr>
          <w:sz w:val="18"/>
        </w:rPr>
        <w:t>, P. Hedge “Machinability of MADI</w:t>
      </w:r>
      <w:r w:rsidRPr="00FD3A0F">
        <w:rPr>
          <w:sz w:val="18"/>
          <w:vertAlign w:val="superscript"/>
        </w:rPr>
        <w:t>TM</w:t>
      </w:r>
      <w:r w:rsidRPr="00A16473">
        <w:rPr>
          <w:sz w:val="18"/>
        </w:rPr>
        <w:t>,” SAE Technical Paper #2005-01-1684, Society of Automotive Engineers, Warrendale, PA (2005).</w:t>
      </w:r>
    </w:p>
    <w:p w:rsidR="00A16473" w:rsidRPr="00A16473" w:rsidRDefault="00A16473" w:rsidP="00A16473">
      <w:pPr>
        <w:pStyle w:val="ListParagraph"/>
        <w:numPr>
          <w:ilvl w:val="0"/>
          <w:numId w:val="3"/>
        </w:numPr>
        <w:rPr>
          <w:sz w:val="18"/>
        </w:rPr>
      </w:pPr>
      <w:r w:rsidRPr="00A16473">
        <w:rPr>
          <w:sz w:val="18"/>
        </w:rPr>
        <w:t>A.P. Druschitz, D.C. Fitzgerald, “MADI</w:t>
      </w:r>
      <w:r w:rsidRPr="00BF31DC">
        <w:rPr>
          <w:sz w:val="18"/>
          <w:vertAlign w:val="superscript"/>
        </w:rPr>
        <w:t>TM</w:t>
      </w:r>
      <w:r w:rsidRPr="00A16473">
        <w:rPr>
          <w:sz w:val="18"/>
        </w:rPr>
        <w:t>: Introducing A New, Machinable Austempered Ductile Iron,” SAE Technical Paper #2003-01-0187, Society of Automotive Engineers, Warrendale, PA (2003).</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sidR="004D2148">
        <w:rPr>
          <w:rFonts w:ascii="Arial"/>
          <w:noProof/>
          <w:color w:val="BF5A14"/>
        </w:rPr>
        <w:drawing>
          <wp:inline distT="0" distB="0" distL="0" distR="0" wp14:anchorId="1AD9241B" wp14:editId="174ACDD1">
            <wp:extent cx="528918" cy="796364"/>
            <wp:effectExtent l="0" t="0" r="5080" b="381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lan Druschitz.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28961" cy="796429"/>
                    </a:xfrm>
                    <a:prstGeom prst="rect">
                      <a:avLst/>
                    </a:prstGeom>
                  </pic:spPr>
                </pic:pic>
              </a:graphicData>
            </a:graphic>
          </wp:inline>
        </w:drawing>
      </w:r>
      <w:r w:rsidR="00A9710C">
        <w:rPr>
          <w:rFonts w:ascii="Arial"/>
          <w:color w:val="BF5A14"/>
        </w:rPr>
        <w:t>Biography</w:t>
      </w:r>
      <w:r w:rsidR="00404E5B">
        <w:rPr>
          <w:rFonts w:ascii="Arial"/>
          <w:color w:val="BF5A14"/>
        </w:rPr>
        <w:t xml:space="preserve"> </w:t>
      </w:r>
    </w:p>
    <w:p w:rsidR="004D2148" w:rsidRPr="004D2148" w:rsidRDefault="004D2148" w:rsidP="004D2148">
      <w:pPr>
        <w:rPr>
          <w:rFonts w:ascii="Arial" w:hAnsi="Arial" w:cs="Arial"/>
          <w:sz w:val="14"/>
          <w:szCs w:val="14"/>
        </w:rPr>
      </w:pPr>
      <w:r>
        <w:rPr>
          <w:rFonts w:ascii="Arial" w:hAnsi="Arial" w:cs="Arial"/>
          <w:sz w:val="14"/>
          <w:szCs w:val="14"/>
        </w:rPr>
        <w:t>Alan</w:t>
      </w:r>
      <w:r w:rsidRPr="004D2148">
        <w:rPr>
          <w:rFonts w:ascii="Arial" w:hAnsi="Arial" w:cs="Arial"/>
          <w:sz w:val="14"/>
          <w:szCs w:val="14"/>
        </w:rPr>
        <w:t xml:space="preserve"> Druschitz has 34 years of industrial materials research, product development, manufacturing support, management and teaching experience.  He specializes in cast metals, component manufacturing, materials characterization, and corrosion.  He has extensive experience with automotive components, product design, failure analysis, heat-treating, welding, materials and component testing and nondestructive testing.  He has over 80 publications and holds six patents.  He is a Fellow of the Society of Automotive Engineers and the Chair of the ASM International Handbook committee.  He is a member of the AFS, ASM International, TMS, AIST, and NACE International. </w:t>
      </w:r>
    </w:p>
    <w:p w:rsidR="00AE3E37" w:rsidRDefault="00A9710C">
      <w:pPr>
        <w:spacing w:before="62"/>
        <w:ind w:left="4217" w:right="4235"/>
        <w:jc w:val="center"/>
        <w:rPr>
          <w:rFonts w:ascii="Arial"/>
          <w:sz w:val="14"/>
        </w:rPr>
      </w:pPr>
      <w:r>
        <w:rPr>
          <w:rFonts w:ascii="Arial"/>
          <w:sz w:val="14"/>
        </w:rPr>
        <w:t xml:space="preserve">Email: </w:t>
      </w:r>
      <w:hyperlink r:id="rId12" w:history="1">
        <w:r w:rsidR="00F822BA" w:rsidRPr="00E150E1">
          <w:rPr>
            <w:rStyle w:val="Hyperlink"/>
            <w:rFonts w:ascii="Arial"/>
            <w:sz w:val="14"/>
          </w:rPr>
          <w:t>adrus@vt.edu</w:t>
        </w:r>
      </w:hyperlink>
    </w:p>
    <w:p w:rsidR="00AE3E37" w:rsidRDefault="00292ED9">
      <w:pPr>
        <w:pStyle w:val="BodyText"/>
        <w:spacing w:before="2"/>
        <w:rPr>
          <w:rFonts w:ascii="Arial"/>
          <w:sz w:val="19"/>
        </w:rPr>
      </w:pPr>
      <w:r>
        <w:rPr>
          <w:noProof/>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4D2148" w:rsidRDefault="00A9710C" w:rsidP="004D2148">
      <w:pPr>
        <w:spacing w:before="39"/>
        <w:ind w:left="100"/>
        <w:rPr>
          <w:rFonts w:ascii="Minion Pro"/>
          <w:b/>
          <w:sz w:val="20"/>
        </w:rPr>
        <w:sectPr w:rsidR="00AE3E37" w:rsidRPr="004D2148">
          <w:type w:val="continuous"/>
          <w:pgSz w:w="11910" w:h="16840"/>
          <w:pgMar w:top="1740" w:right="600" w:bottom="840" w:left="620" w:header="720" w:footer="720" w:gutter="0"/>
          <w:cols w:space="720"/>
        </w:sectPr>
      </w:pPr>
      <w:r w:rsidRPr="00B21A57">
        <w:rPr>
          <w:rFonts w:ascii="Minion Pro"/>
          <w:b/>
          <w:sz w:val="20"/>
        </w:rPr>
        <w:t>Notes/Comments:</w:t>
      </w:r>
    </w:p>
    <w:p w:rsidR="00AE3E37" w:rsidRDefault="00AE3E37" w:rsidP="004D2148">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E3104" w:rsidRDefault="00DE3104">
      <w:r>
        <w:separator/>
      </w:r>
    </w:p>
  </w:endnote>
  <w:endnote w:type="continuationSeparator" w:id="0">
    <w:p w:rsidR="00DE3104" w:rsidRDefault="00DE31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14:anchorId="2898621E" wp14:editId="78F8E5D9">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14:anchorId="7F96A493" wp14:editId="51348713">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14:anchorId="672EBE7D" wp14:editId="074EB268">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E3104" w:rsidRDefault="00DE3104">
      <w:r>
        <w:separator/>
      </w:r>
    </w:p>
  </w:footnote>
  <w:footnote w:type="continuationSeparator" w:id="0">
    <w:p w:rsidR="00DE3104" w:rsidRDefault="00DE310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14:anchorId="46F4280B" wp14:editId="1FB0F5DB">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14:anchorId="62D48D73" wp14:editId="0F436C24">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6"/>
  <w:proofState w:spelling="clean" w:grammar="clean"/>
  <w:defaultTabStop w:val="720"/>
  <w:drawingGridHorizontalSpacing w:val="110"/>
  <w:displayHorizontalDrawingGridEvery w:val="2"/>
  <w:characterSpacingControl w:val="doNotCompress"/>
  <w:hdrShapeDefaults>
    <o:shapedefaults v:ext="edit" spidmax="6145"/>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925C0"/>
    <w:rsid w:val="000E2911"/>
    <w:rsid w:val="001263DF"/>
    <w:rsid w:val="00232929"/>
    <w:rsid w:val="00292ED9"/>
    <w:rsid w:val="00404E5B"/>
    <w:rsid w:val="00414F7B"/>
    <w:rsid w:val="004355DC"/>
    <w:rsid w:val="004749B4"/>
    <w:rsid w:val="00494130"/>
    <w:rsid w:val="004A6702"/>
    <w:rsid w:val="004D2148"/>
    <w:rsid w:val="004F3523"/>
    <w:rsid w:val="005973B9"/>
    <w:rsid w:val="005B3A56"/>
    <w:rsid w:val="005E7435"/>
    <w:rsid w:val="006060CE"/>
    <w:rsid w:val="0063497F"/>
    <w:rsid w:val="00793E05"/>
    <w:rsid w:val="00873DF0"/>
    <w:rsid w:val="008756E6"/>
    <w:rsid w:val="008A5E6F"/>
    <w:rsid w:val="009B2D44"/>
    <w:rsid w:val="00A07E82"/>
    <w:rsid w:val="00A16473"/>
    <w:rsid w:val="00A9710C"/>
    <w:rsid w:val="00AE3E37"/>
    <w:rsid w:val="00B21A57"/>
    <w:rsid w:val="00B8447A"/>
    <w:rsid w:val="00BB087C"/>
    <w:rsid w:val="00BF31DC"/>
    <w:rsid w:val="00C06A57"/>
    <w:rsid w:val="00C33602"/>
    <w:rsid w:val="00C861EB"/>
    <w:rsid w:val="00CD6F55"/>
    <w:rsid w:val="00DE3104"/>
    <w:rsid w:val="00F72EEA"/>
    <w:rsid w:val="00F822BA"/>
    <w:rsid w:val="00F84CAE"/>
    <w:rsid w:val="00FD3A0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8170452">
      <w:bodyDiv w:val="1"/>
      <w:marLeft w:val="0"/>
      <w:marRight w:val="0"/>
      <w:marTop w:val="0"/>
      <w:marBottom w:val="0"/>
      <w:divBdr>
        <w:top w:val="none" w:sz="0" w:space="0" w:color="auto"/>
        <w:left w:val="none" w:sz="0" w:space="0" w:color="auto"/>
        <w:bottom w:val="none" w:sz="0" w:space="0" w:color="auto"/>
        <w:right w:val="none" w:sz="0" w:space="0" w:color="auto"/>
      </w:divBdr>
      <w:divsChild>
        <w:div w:id="169217512">
          <w:marLeft w:val="0"/>
          <w:marRight w:val="0"/>
          <w:marTop w:val="0"/>
          <w:marBottom w:val="0"/>
          <w:divBdr>
            <w:top w:val="none" w:sz="0" w:space="0" w:color="auto"/>
            <w:left w:val="none" w:sz="0" w:space="0" w:color="auto"/>
            <w:bottom w:val="none" w:sz="0" w:space="0" w:color="auto"/>
            <w:right w:val="none" w:sz="0" w:space="0" w:color="auto"/>
          </w:divBdr>
          <w:divsChild>
            <w:div w:id="654651182">
              <w:marLeft w:val="0"/>
              <w:marRight w:val="0"/>
              <w:marTop w:val="0"/>
              <w:marBottom w:val="0"/>
              <w:divBdr>
                <w:top w:val="none" w:sz="0" w:space="0" w:color="auto"/>
                <w:left w:val="none" w:sz="0" w:space="0" w:color="auto"/>
                <w:bottom w:val="none" w:sz="0" w:space="0" w:color="auto"/>
                <w:right w:val="none" w:sz="0" w:space="0" w:color="auto"/>
              </w:divBdr>
              <w:divsChild>
                <w:div w:id="1737167821">
                  <w:marLeft w:val="0"/>
                  <w:marRight w:val="0"/>
                  <w:marTop w:val="0"/>
                  <w:marBottom w:val="0"/>
                  <w:divBdr>
                    <w:top w:val="none" w:sz="0" w:space="0" w:color="auto"/>
                    <w:left w:val="none" w:sz="0" w:space="0" w:color="auto"/>
                    <w:bottom w:val="none" w:sz="0" w:space="0" w:color="auto"/>
                    <w:right w:val="none" w:sz="0" w:space="0" w:color="auto"/>
                  </w:divBdr>
                  <w:divsChild>
                    <w:div w:id="1690913797">
                      <w:marLeft w:val="0"/>
                      <w:marRight w:val="0"/>
                      <w:marTop w:val="0"/>
                      <w:marBottom w:val="0"/>
                      <w:divBdr>
                        <w:top w:val="none" w:sz="0" w:space="0" w:color="auto"/>
                        <w:left w:val="none" w:sz="0" w:space="0" w:color="auto"/>
                        <w:bottom w:val="none" w:sz="0" w:space="0" w:color="auto"/>
                        <w:right w:val="none" w:sz="0" w:space="0" w:color="auto"/>
                      </w:divBdr>
                      <w:divsChild>
                        <w:div w:id="1058750848">
                          <w:marLeft w:val="0"/>
                          <w:marRight w:val="0"/>
                          <w:marTop w:val="0"/>
                          <w:marBottom w:val="0"/>
                          <w:divBdr>
                            <w:top w:val="none" w:sz="0" w:space="0" w:color="auto"/>
                            <w:left w:val="none" w:sz="0" w:space="0" w:color="auto"/>
                            <w:bottom w:val="none" w:sz="0" w:space="0" w:color="auto"/>
                            <w:right w:val="none" w:sz="0" w:space="0" w:color="auto"/>
                          </w:divBdr>
                          <w:divsChild>
                            <w:div w:id="379983541">
                              <w:marLeft w:val="0"/>
                              <w:marRight w:val="0"/>
                              <w:marTop w:val="0"/>
                              <w:marBottom w:val="0"/>
                              <w:divBdr>
                                <w:top w:val="none" w:sz="0" w:space="0" w:color="auto"/>
                                <w:left w:val="none" w:sz="0" w:space="0" w:color="auto"/>
                                <w:bottom w:val="none" w:sz="0" w:space="0" w:color="auto"/>
                                <w:right w:val="none" w:sz="0" w:space="0" w:color="auto"/>
                              </w:divBdr>
                              <w:divsChild>
                                <w:div w:id="454952027">
                                  <w:marLeft w:val="0"/>
                                  <w:marRight w:val="0"/>
                                  <w:marTop w:val="0"/>
                                  <w:marBottom w:val="0"/>
                                  <w:divBdr>
                                    <w:top w:val="none" w:sz="0" w:space="0" w:color="auto"/>
                                    <w:left w:val="none" w:sz="0" w:space="0" w:color="auto"/>
                                    <w:bottom w:val="none" w:sz="0" w:space="0" w:color="auto"/>
                                    <w:right w:val="none" w:sz="0" w:space="0" w:color="auto"/>
                                  </w:divBdr>
                                  <w:divsChild>
                                    <w:div w:id="949748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adrus@vt.ed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107</TotalTime>
  <Pages>1</Pages>
  <Words>510</Words>
  <Characters>2909</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3413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Alan Druschitz</cp:lastModifiedBy>
  <cp:revision>11</cp:revision>
  <cp:lastPrinted>2017-05-29T16:39:00Z</cp:lastPrinted>
  <dcterms:created xsi:type="dcterms:W3CDTF">2017-05-29T14:30:00Z</dcterms:created>
  <dcterms:modified xsi:type="dcterms:W3CDTF">2017-05-29T16:42:00Z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