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790017" w:rsidP="00494130">
      <w:pPr>
        <w:pStyle w:val="Heading1"/>
        <w:spacing w:before="170"/>
        <w:ind w:left="0"/>
      </w:pPr>
      <w:r>
        <w:rPr>
          <w:color w:val="337AB7"/>
        </w:rPr>
        <w:t>Functionalized Well-defined Polymeric Nanostructures for Biomedical Applications</w:t>
      </w:r>
    </w:p>
    <w:p w:rsidR="00133996" w:rsidRDefault="00133996" w:rsidP="00133996">
      <w:pPr>
        <w:rPr>
          <w:rFonts w:ascii="Arial"/>
          <w:sz w:val="18"/>
          <w:szCs w:val="18"/>
        </w:rPr>
      </w:pPr>
      <w:r w:rsidRPr="00133996">
        <w:rPr>
          <w:rFonts w:ascii="Arial"/>
          <w:sz w:val="18"/>
          <w:szCs w:val="18"/>
        </w:rPr>
        <w:t xml:space="preserve">Thomas </w:t>
      </w:r>
      <w:r w:rsidR="00BB2BA9">
        <w:rPr>
          <w:rFonts w:ascii="Arial"/>
          <w:sz w:val="18"/>
          <w:szCs w:val="18"/>
        </w:rPr>
        <w:t xml:space="preserve">J. </w:t>
      </w:r>
      <w:r w:rsidRPr="00133996">
        <w:rPr>
          <w:rFonts w:ascii="Arial"/>
          <w:sz w:val="18"/>
          <w:szCs w:val="18"/>
        </w:rPr>
        <w:t xml:space="preserve">Gibson, Marie Finnegan, </w:t>
      </w:r>
      <w:r w:rsidRPr="00133996">
        <w:rPr>
          <w:rFonts w:ascii="Arial"/>
          <w:sz w:val="18"/>
          <w:szCs w:val="18"/>
          <w:u w:val="single"/>
        </w:rPr>
        <w:t>Efrosyni Themistou</w:t>
      </w:r>
      <w:r w:rsidRPr="00133996">
        <w:rPr>
          <w:rFonts w:ascii="Arial"/>
          <w:sz w:val="18"/>
          <w:szCs w:val="18"/>
        </w:rPr>
        <w:t xml:space="preserve"> </w:t>
      </w:r>
    </w:p>
    <w:p w:rsidR="005973B9" w:rsidRPr="00133996" w:rsidRDefault="00133996" w:rsidP="00133996">
      <w:pPr>
        <w:rPr>
          <w:rFonts w:ascii="Arial" w:hAnsi="Arial" w:cs="Arial"/>
          <w:sz w:val="18"/>
          <w:szCs w:val="18"/>
        </w:rPr>
      </w:pPr>
      <w:r w:rsidRPr="00133996">
        <w:rPr>
          <w:rFonts w:ascii="Arial" w:hAnsi="Arial" w:cs="Arial"/>
          <w:sz w:val="18"/>
          <w:szCs w:val="18"/>
        </w:rPr>
        <w:t>School of Chemistry and Chemical Engineering, Queen’s University Belfast, BT9 5AG, UK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</w:p>
    <w:p w:rsidR="00372366" w:rsidRDefault="00A9710C" w:rsidP="00372366">
      <w:pPr>
        <w:pStyle w:val="BodyText"/>
        <w:spacing w:before="90" w:line="280" w:lineRule="auto"/>
        <w:ind w:left="100"/>
        <w:jc w:val="both"/>
        <w:rPr>
          <w:color w:val="BF5A14"/>
        </w:rPr>
      </w:pPr>
      <w:r>
        <w:t xml:space="preserve">Statement of the Problem: </w:t>
      </w:r>
      <w:r w:rsidR="00BB2BA9">
        <w:t>Novel polymer</w:t>
      </w:r>
      <w:r w:rsidR="008E3B71">
        <w:t>s</w:t>
      </w:r>
      <w:r w:rsidR="00BB2BA9">
        <w:t xml:space="preserve"> bearing functional groups are essential in various biomedical applications. </w:t>
      </w:r>
      <w:r w:rsidR="008E3B71">
        <w:t>Biocompatible polymeric nanostructures including star polymers and amphiphilic block copolymers</w:t>
      </w:r>
      <w:r w:rsidR="005C077A">
        <w:t xml:space="preserve"> that self-assemble to polymer micelles and vesicles in aqueous solutions, enable the intracellular delivery of</w:t>
      </w:r>
      <w:r w:rsidR="000A6BAF">
        <w:t xml:space="preserve"> hydrophobic and hydrophilic</w:t>
      </w:r>
      <w:r w:rsidR="005C077A">
        <w:t xml:space="preserve"> drugs, antibodies, proteins and DNA</w:t>
      </w:r>
      <w:r w:rsidR="000A6BAF">
        <w:t>, without affecting</w:t>
      </w:r>
      <w:r w:rsidR="005C077A">
        <w:t xml:space="preserve"> cell metabolic activity. Amphiphilic block copolymers can be also used for the </w:t>
      </w:r>
      <w:proofErr w:type="spellStart"/>
      <w:r w:rsidR="000A6BAF">
        <w:t>functionalis</w:t>
      </w:r>
      <w:r w:rsidR="005C077A">
        <w:t>ation</w:t>
      </w:r>
      <w:proofErr w:type="spellEnd"/>
      <w:r w:rsidR="005C077A">
        <w:t xml:space="preserve"> of </w:t>
      </w:r>
      <w:proofErr w:type="spellStart"/>
      <w:r w:rsidR="000A6BAF">
        <w:t>nanofib</w:t>
      </w:r>
      <w:r w:rsidR="005C077A">
        <w:t>r</w:t>
      </w:r>
      <w:r w:rsidR="000A6BAF">
        <w:t>e</w:t>
      </w:r>
      <w:r w:rsidR="005C077A">
        <w:t>s</w:t>
      </w:r>
      <w:proofErr w:type="spellEnd"/>
      <w:r w:rsidR="005C077A">
        <w:t xml:space="preserve"> for tissue engineering applications.</w:t>
      </w:r>
      <w:r w:rsidR="00BB2BA9">
        <w:t xml:space="preserve"> </w:t>
      </w:r>
      <w:r>
        <w:t>The purpose of this study is to</w:t>
      </w:r>
      <w:r w:rsidR="00404E5B">
        <w:t xml:space="preserve"> </w:t>
      </w:r>
      <w:r w:rsidR="005C077A">
        <w:t xml:space="preserve">explore the preparation of biodegradable star polymers and amphiphilic block copolymers using reversible addition-fragmentation chain transfer (RAFT) </w:t>
      </w:r>
      <w:proofErr w:type="spellStart"/>
      <w:r w:rsidR="005C077A">
        <w:t>polymerisation</w:t>
      </w:r>
      <w:proofErr w:type="spellEnd"/>
      <w:r w:rsidR="005C077A">
        <w:t xml:space="preserve"> and ring opening </w:t>
      </w:r>
      <w:proofErr w:type="spellStart"/>
      <w:r w:rsidR="005C077A">
        <w:t>polymerisation</w:t>
      </w:r>
      <w:proofErr w:type="spellEnd"/>
      <w:r w:rsidR="005C077A">
        <w:t xml:space="preserve"> (ROP). </w:t>
      </w:r>
      <w:r>
        <w:t>Methodolog</w:t>
      </w:r>
      <w:r w:rsidR="008756E6">
        <w:t xml:space="preserve">y &amp; Theoretical Orientation: </w:t>
      </w:r>
      <w:r w:rsidR="00AB07B9">
        <w:t xml:space="preserve">For the synthesis of the amphiphilic block copolymers the biocompatible water-soluble </w:t>
      </w:r>
      <w:proofErr w:type="gramStart"/>
      <w:r w:rsidR="00AB07B9">
        <w:t>poly[</w:t>
      </w:r>
      <w:proofErr w:type="gramEnd"/>
      <w:r w:rsidR="00AB07B9">
        <w:t>2(</w:t>
      </w:r>
      <w:proofErr w:type="spellStart"/>
      <w:r w:rsidR="00AB07B9">
        <w:t>methacryloyloxy</w:t>
      </w:r>
      <w:proofErr w:type="spellEnd"/>
      <w:r w:rsidR="00AB07B9">
        <w:t xml:space="preserve">)ethyl </w:t>
      </w:r>
      <w:proofErr w:type="spellStart"/>
      <w:r w:rsidR="00AB07B9">
        <w:t>phosphorylcholine</w:t>
      </w:r>
      <w:proofErr w:type="spellEnd"/>
      <w:r w:rsidR="00AB07B9">
        <w:t xml:space="preserve">) (MPC) and oligo(ethylene glycol) methacrylate (OEGMA) monomers were used for the formation of the RAFT macro- chain transfer agent (CTA). Various hydrophobic monomers were used for the efficient chain extension of these macro-CTAs, leading to the formation of amphiphilic block copolymers (either by RAFT </w:t>
      </w:r>
      <w:proofErr w:type="spellStart"/>
      <w:r w:rsidR="00AB07B9">
        <w:t>polymerisation</w:t>
      </w:r>
      <w:proofErr w:type="spellEnd"/>
      <w:r w:rsidR="00AB07B9">
        <w:t xml:space="preserve"> or ROP).</w:t>
      </w:r>
      <w:r w:rsidR="000A6BAF">
        <w:t xml:space="preserve"> </w:t>
      </w:r>
      <w:r w:rsidR="000A6BAF">
        <w:t xml:space="preserve">For the preparation of star polymers by aqueous RAFT </w:t>
      </w:r>
      <w:proofErr w:type="spellStart"/>
      <w:r w:rsidR="000A6BAF">
        <w:t>polymerisation</w:t>
      </w:r>
      <w:proofErr w:type="spellEnd"/>
      <w:r w:rsidR="000A6BAF">
        <w:t xml:space="preserve">, a degradable </w:t>
      </w:r>
      <w:proofErr w:type="spellStart"/>
      <w:r w:rsidR="000A6BAF">
        <w:t>acetal</w:t>
      </w:r>
      <w:proofErr w:type="spellEnd"/>
      <w:r w:rsidR="000A6BAF">
        <w:t xml:space="preserve">-based cross-linker was used to connect </w:t>
      </w:r>
      <w:r w:rsidR="000A6BAF">
        <w:t xml:space="preserve">the hydrophilic macro-CTA linear chains together to form star-shape polymeric nanostructures. </w:t>
      </w:r>
      <w:r w:rsidR="00AB07B9">
        <w:t>All polymers were characterized by NMR and GPC, where the formation of the polymeric nanostructures</w:t>
      </w:r>
      <w:r w:rsidR="00834D25">
        <w:t>,</w:t>
      </w:r>
      <w:r w:rsidR="00AB07B9">
        <w:t xml:space="preserve"> </w:t>
      </w:r>
      <w:r w:rsidR="000A6BAF">
        <w:t xml:space="preserve">achieved </w:t>
      </w:r>
      <w:r w:rsidR="00AB07B9">
        <w:t>either by self-assemble methods or chemical cross-linking</w:t>
      </w:r>
      <w:r w:rsidR="00A522ED">
        <w:t>,</w:t>
      </w:r>
      <w:r w:rsidR="00AB07B9">
        <w:t xml:space="preserve"> was indicated by TEM and DLS studies. </w:t>
      </w:r>
      <w:r>
        <w:t xml:space="preserve">Findings: </w:t>
      </w:r>
      <w:r w:rsidR="00372366">
        <w:t xml:space="preserve">RAFT </w:t>
      </w:r>
      <w:proofErr w:type="spellStart"/>
      <w:r w:rsidR="00372366">
        <w:t>polymerisation</w:t>
      </w:r>
      <w:proofErr w:type="spellEnd"/>
      <w:r w:rsidR="00372366">
        <w:t xml:space="preserve"> and ROP are great </w:t>
      </w:r>
      <w:r w:rsidR="000A6BAF">
        <w:t>m</w:t>
      </w:r>
      <w:r w:rsidR="00372366">
        <w:t>ethods for producing well-defi</w:t>
      </w:r>
      <w:r w:rsidR="00834D25">
        <w:t>ned polymeric nanostructures. T</w:t>
      </w:r>
      <w:r w:rsidR="00372366">
        <w:t xml:space="preserve">hin film rehydration, pH-switch, solvent-switch and </w:t>
      </w:r>
      <w:proofErr w:type="spellStart"/>
      <w:r w:rsidR="00372366">
        <w:t>polymerisation</w:t>
      </w:r>
      <w:proofErr w:type="spellEnd"/>
      <w:r w:rsidR="00372366">
        <w:t xml:space="preserve">-induced cell-assembly (PISA) can be used for </w:t>
      </w:r>
      <w:r w:rsidR="000A6BAF">
        <w:t xml:space="preserve">the </w:t>
      </w:r>
      <w:r w:rsidR="00372366">
        <w:t xml:space="preserve">formation of various polymer </w:t>
      </w:r>
      <w:r w:rsidR="00372366">
        <w:t>morphologies in aqueous so</w:t>
      </w:r>
      <w:r w:rsidR="000A6BAF">
        <w:t xml:space="preserve">lutions (micelles and vesicles), which are </w:t>
      </w:r>
      <w:r w:rsidR="00372366">
        <w:t xml:space="preserve">important for biomedical applications. </w:t>
      </w:r>
      <w:r>
        <w:t xml:space="preserve">Conclusion &amp; Significance: </w:t>
      </w:r>
      <w:r w:rsidR="00372366">
        <w:t xml:space="preserve">The polymers prepared in this work are currently being evaluated for site-specific delivery of biologically important molecules, as well as for their use as protein sensors and tissue engineering matrices. </w:t>
      </w:r>
    </w:p>
    <w:p w:rsidR="00AE3E37" w:rsidRDefault="00A9710C">
      <w:pPr>
        <w:pStyle w:val="Heading3"/>
        <w:spacing w:before="74"/>
      </w:pPr>
      <w:r>
        <w:rPr>
          <w:color w:val="BF5A14"/>
        </w:rPr>
        <w:t>Image</w:t>
      </w:r>
    </w:p>
    <w:p w:rsidR="00AE3E37" w:rsidRDefault="00F24BC0" w:rsidP="00F24BC0">
      <w:pPr>
        <w:pStyle w:val="BodyText"/>
        <w:spacing w:before="2"/>
        <w:jc w:val="center"/>
        <w:rPr>
          <w:rFonts w:ascii="Arial"/>
          <w:b/>
          <w:sz w:val="16"/>
        </w:rPr>
      </w:pPr>
      <w:r w:rsidRPr="00F24BC0">
        <w:drawing>
          <wp:inline distT="0" distB="0" distL="0" distR="0">
            <wp:extent cx="1811547" cy="22171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202" cy="2235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BC0" w:rsidRDefault="00F24BC0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sz w:val="16"/>
        </w:rPr>
        <w:t xml:space="preserve">Figure: </w:t>
      </w:r>
      <w:r w:rsidRPr="00F24BC0">
        <w:rPr>
          <w:rFonts w:ascii="Arial"/>
          <w:sz w:val="16"/>
        </w:rPr>
        <w:t xml:space="preserve">Polymeric nanostructures prepared by </w:t>
      </w:r>
      <w:r w:rsidRPr="00F24BC0">
        <w:rPr>
          <w:rFonts w:ascii="Arial"/>
          <w:sz w:val="16"/>
        </w:rPr>
        <w:t>‘</w:t>
      </w:r>
      <w:r w:rsidRPr="00F24BC0">
        <w:rPr>
          <w:rFonts w:ascii="Arial"/>
          <w:sz w:val="16"/>
        </w:rPr>
        <w:t>Living</w:t>
      </w:r>
      <w:r w:rsidRPr="00F24BC0">
        <w:rPr>
          <w:rFonts w:ascii="Arial"/>
          <w:sz w:val="16"/>
        </w:rPr>
        <w:t>’</w:t>
      </w:r>
      <w:r w:rsidRPr="00F24BC0">
        <w:rPr>
          <w:rFonts w:ascii="Arial"/>
          <w:sz w:val="16"/>
        </w:rPr>
        <w:t xml:space="preserve"> </w:t>
      </w:r>
      <w:proofErr w:type="spellStart"/>
      <w:r w:rsidRPr="00F24BC0">
        <w:rPr>
          <w:rFonts w:ascii="Arial"/>
          <w:sz w:val="16"/>
        </w:rPr>
        <w:t>polymerisation</w:t>
      </w:r>
      <w:proofErr w:type="spellEnd"/>
      <w:r w:rsidRPr="00F24BC0">
        <w:rPr>
          <w:rFonts w:ascii="Arial"/>
          <w:sz w:val="16"/>
        </w:rPr>
        <w:t xml:space="preserve"> techniques.</w:t>
      </w:r>
      <w:r>
        <w:rPr>
          <w:rFonts w:ascii="Arial"/>
          <w:b/>
          <w:sz w:val="16"/>
        </w:rPr>
        <w:t xml:space="preserve">  </w:t>
      </w:r>
    </w:p>
    <w:p w:rsidR="005973B9" w:rsidRDefault="00F24BC0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A522ED" w:rsidRPr="00A522ED" w:rsidRDefault="00A522ED" w:rsidP="00A522ED">
      <w:pPr>
        <w:pStyle w:val="ListParagraph"/>
        <w:numPr>
          <w:ilvl w:val="0"/>
          <w:numId w:val="3"/>
        </w:numPr>
        <w:spacing w:after="160"/>
        <w:outlineLvl w:val="0"/>
        <w:rPr>
          <w:rFonts w:asciiTheme="minorHAnsi" w:hAnsiTheme="minorHAnsi"/>
          <w:b/>
          <w:bCs/>
          <w:color w:val="000000" w:themeColor="text1"/>
          <w:kern w:val="36"/>
          <w:sz w:val="18"/>
          <w:szCs w:val="18"/>
          <w:lang w:eastAsia="en-GB"/>
        </w:rPr>
      </w:pPr>
      <w:hyperlink r:id="rId10" w:history="1">
        <w:proofErr w:type="spellStart"/>
        <w:r w:rsidRPr="00A522ED">
          <w:rPr>
            <w:rFonts w:asciiTheme="minorHAnsi" w:hAnsiTheme="minorHAnsi"/>
            <w:color w:val="000000" w:themeColor="text1"/>
            <w:sz w:val="18"/>
            <w:szCs w:val="18"/>
            <w:lang w:eastAsia="en-GB"/>
          </w:rPr>
          <w:t>Petropoulou</w:t>
        </w:r>
        <w:proofErr w:type="spellEnd"/>
      </w:hyperlink>
      <w:r w:rsidRPr="00A522ED">
        <w:rPr>
          <w:rFonts w:asciiTheme="minorHAnsi" w:hAnsiTheme="minorHAnsi"/>
          <w:color w:val="000000" w:themeColor="text1"/>
          <w:sz w:val="18"/>
          <w:szCs w:val="18"/>
          <w:lang w:eastAsia="en-GB"/>
        </w:rPr>
        <w:t xml:space="preserve"> A,</w:t>
      </w:r>
      <w:hyperlink r:id="rId11" w:history="1">
        <w:r w:rsidRPr="00A522ED">
          <w:rPr>
            <w:rFonts w:asciiTheme="minorHAnsi" w:hAnsiTheme="minorHAnsi"/>
            <w:color w:val="000000" w:themeColor="text1"/>
            <w:sz w:val="18"/>
            <w:szCs w:val="18"/>
            <w:lang w:eastAsia="en-GB"/>
          </w:rPr>
          <w:t xml:space="preserve"> Gibson</w:t>
        </w:r>
      </w:hyperlink>
      <w:r w:rsidRPr="00A522ED">
        <w:rPr>
          <w:rFonts w:asciiTheme="minorHAnsi" w:hAnsiTheme="minorHAnsi"/>
          <w:color w:val="000000" w:themeColor="text1"/>
          <w:sz w:val="18"/>
          <w:szCs w:val="18"/>
          <w:lang w:eastAsia="en-GB"/>
        </w:rPr>
        <w:t xml:space="preserve"> TJ, </w:t>
      </w:r>
      <w:hyperlink r:id="rId12" w:history="1">
        <w:r w:rsidRPr="00A522ED">
          <w:rPr>
            <w:rFonts w:asciiTheme="minorHAnsi" w:hAnsiTheme="minorHAnsi"/>
            <w:color w:val="000000" w:themeColor="text1"/>
            <w:sz w:val="18"/>
            <w:szCs w:val="18"/>
            <w:lang w:eastAsia="en-GB"/>
          </w:rPr>
          <w:t>Themistou</w:t>
        </w:r>
      </w:hyperlink>
      <w:r w:rsidRPr="00A522ED">
        <w:rPr>
          <w:rFonts w:asciiTheme="minorHAnsi" w:hAnsiTheme="minorHAnsi"/>
          <w:color w:val="000000" w:themeColor="text1"/>
          <w:sz w:val="18"/>
          <w:szCs w:val="18"/>
          <w:lang w:eastAsia="en-GB"/>
        </w:rPr>
        <w:t xml:space="preserve"> E,</w:t>
      </w:r>
      <w:r w:rsidRPr="00A522ED">
        <w:rPr>
          <w:rFonts w:asciiTheme="minorHAnsi" w:hAnsiTheme="minorHAnsi"/>
          <w:b/>
          <w:color w:val="000000" w:themeColor="text1"/>
          <w:sz w:val="18"/>
          <w:szCs w:val="18"/>
          <w:lang w:eastAsia="en-GB"/>
        </w:rPr>
        <w:t xml:space="preserve"> </w:t>
      </w:r>
      <w:hyperlink r:id="rId13" w:history="1">
        <w:proofErr w:type="spellStart"/>
        <w:r w:rsidRPr="00A522ED">
          <w:rPr>
            <w:rFonts w:asciiTheme="minorHAnsi" w:hAnsiTheme="minorHAnsi"/>
            <w:color w:val="000000" w:themeColor="text1"/>
            <w:sz w:val="18"/>
            <w:szCs w:val="18"/>
            <w:lang w:eastAsia="en-GB"/>
          </w:rPr>
          <w:t>Pispas</w:t>
        </w:r>
        <w:proofErr w:type="spellEnd"/>
      </w:hyperlink>
      <w:r w:rsidRPr="00A522ED">
        <w:rPr>
          <w:rFonts w:asciiTheme="minorHAnsi" w:hAnsiTheme="minorHAnsi"/>
          <w:color w:val="000000" w:themeColor="text1"/>
          <w:sz w:val="18"/>
          <w:szCs w:val="18"/>
          <w:lang w:eastAsia="en-GB"/>
        </w:rPr>
        <w:t xml:space="preserve"> S,</w:t>
      </w:r>
      <w:hyperlink r:id="rId14" w:history="1">
        <w:r w:rsidRPr="00A522ED">
          <w:rPr>
            <w:rFonts w:asciiTheme="minorHAnsi" w:hAnsiTheme="minorHAnsi"/>
            <w:color w:val="000000" w:themeColor="text1"/>
            <w:sz w:val="18"/>
            <w:szCs w:val="18"/>
            <w:lang w:eastAsia="en-GB"/>
          </w:rPr>
          <w:t xml:space="preserve"> </w:t>
        </w:r>
        <w:proofErr w:type="spellStart"/>
        <w:r w:rsidRPr="00A522ED">
          <w:rPr>
            <w:rFonts w:asciiTheme="minorHAnsi" w:hAnsiTheme="minorHAnsi"/>
            <w:color w:val="000000" w:themeColor="text1"/>
            <w:sz w:val="18"/>
            <w:szCs w:val="18"/>
            <w:lang w:eastAsia="en-GB"/>
          </w:rPr>
          <w:t>Riziotis</w:t>
        </w:r>
        <w:proofErr w:type="spellEnd"/>
      </w:hyperlink>
      <w:r w:rsidRPr="00A522ED">
        <w:rPr>
          <w:rFonts w:asciiTheme="minorHAnsi" w:hAnsiTheme="minorHAnsi"/>
          <w:color w:val="000000" w:themeColor="text1"/>
          <w:sz w:val="18"/>
          <w:szCs w:val="18"/>
          <w:lang w:eastAsia="en-GB"/>
        </w:rPr>
        <w:t xml:space="preserve"> C (2016) </w:t>
      </w:r>
      <w:r w:rsidRPr="00A522ED">
        <w:rPr>
          <w:rFonts w:asciiTheme="minorHAnsi" w:hAnsiTheme="minorHAnsi"/>
          <w:bCs/>
          <w:color w:val="000000" w:themeColor="text1"/>
          <w:kern w:val="36"/>
          <w:sz w:val="18"/>
          <w:szCs w:val="18"/>
          <w:lang w:eastAsia="en-GB"/>
        </w:rPr>
        <w:t>Amphiphilic block copolymer-based photonic platform towards efficient protein detection.</w:t>
      </w:r>
      <w:r w:rsidRPr="00A522ED">
        <w:rPr>
          <w:rFonts w:asciiTheme="minorHAnsi" w:hAnsiTheme="minorHAnsi"/>
          <w:b/>
          <w:bCs/>
          <w:color w:val="000000" w:themeColor="text1"/>
          <w:kern w:val="36"/>
          <w:sz w:val="18"/>
          <w:szCs w:val="18"/>
          <w:lang w:eastAsia="en-GB"/>
        </w:rPr>
        <w:t xml:space="preserve"> </w:t>
      </w:r>
      <w:r w:rsidRPr="00A522ED">
        <w:rPr>
          <w:rFonts w:asciiTheme="minorHAnsi" w:hAnsiTheme="minorHAnsi"/>
          <w:bCs/>
          <w:color w:val="000000" w:themeColor="text1"/>
          <w:kern w:val="36"/>
          <w:sz w:val="18"/>
          <w:szCs w:val="18"/>
          <w:lang w:eastAsia="en-GB"/>
        </w:rPr>
        <w:t>Front Matter:</w:t>
      </w:r>
      <w:r w:rsidRPr="00A522ED">
        <w:rPr>
          <w:rFonts w:asciiTheme="minorHAnsi" w:hAnsiTheme="minorHAnsi"/>
          <w:b/>
          <w:bCs/>
          <w:color w:val="000000" w:themeColor="text1"/>
          <w:kern w:val="36"/>
          <w:sz w:val="18"/>
          <w:szCs w:val="18"/>
          <w:lang w:eastAsia="en-GB"/>
        </w:rPr>
        <w:t xml:space="preserve"> </w:t>
      </w:r>
      <w:r w:rsidRPr="00A522ED">
        <w:rPr>
          <w:rFonts w:asciiTheme="minorHAnsi" w:hAnsiTheme="minorHAnsi"/>
          <w:iCs/>
          <w:color w:val="000000" w:themeColor="text1"/>
          <w:sz w:val="18"/>
          <w:szCs w:val="18"/>
        </w:rPr>
        <w:t>Proc. SPIE,</w:t>
      </w:r>
      <w:r w:rsidRPr="00A522ED">
        <w:rPr>
          <w:rFonts w:asciiTheme="minorHAnsi" w:hAnsiTheme="minorHAnsi"/>
          <w:color w:val="000000" w:themeColor="text1"/>
          <w:sz w:val="18"/>
          <w:szCs w:val="18"/>
        </w:rPr>
        <w:t xml:space="preserve"> 10025, Advanced Sensor Systems and Applications VII, 100250M.</w:t>
      </w:r>
    </w:p>
    <w:p w:rsidR="00A522ED" w:rsidRPr="00A522ED" w:rsidRDefault="00A522ED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21791E">
        <w:rPr>
          <w:rFonts w:asciiTheme="minorHAnsi" w:hAnsiTheme="minorHAnsi"/>
          <w:bCs/>
          <w:sz w:val="18"/>
          <w:szCs w:val="18"/>
          <w:lang w:eastAsia="en-GB"/>
        </w:rPr>
        <w:t xml:space="preserve">Spence S et al. (2015) </w:t>
      </w:r>
      <w:r w:rsidRPr="0021791E">
        <w:rPr>
          <w:rFonts w:asciiTheme="minorHAnsi" w:hAnsiTheme="minorHAnsi"/>
          <w:sz w:val="18"/>
          <w:szCs w:val="18"/>
        </w:rPr>
        <w:t xml:space="preserve">Targeting </w:t>
      </w:r>
      <w:proofErr w:type="spellStart"/>
      <w:r w:rsidRPr="0021791E">
        <w:rPr>
          <w:rFonts w:asciiTheme="minorHAnsi" w:hAnsiTheme="minorHAnsi"/>
          <w:sz w:val="18"/>
          <w:szCs w:val="18"/>
        </w:rPr>
        <w:t>Siglecs</w:t>
      </w:r>
      <w:proofErr w:type="spellEnd"/>
      <w:r w:rsidRPr="0021791E">
        <w:rPr>
          <w:rFonts w:asciiTheme="minorHAnsi" w:hAnsiTheme="minorHAnsi"/>
          <w:sz w:val="18"/>
          <w:szCs w:val="18"/>
        </w:rPr>
        <w:t xml:space="preserve"> with Sialic Acid Ligand Abrogates Inflammation in an IL-10-dependent Manner.</w:t>
      </w:r>
      <w:r w:rsidRPr="0021791E">
        <w:rPr>
          <w:rFonts w:asciiTheme="minorHAnsi" w:hAnsiTheme="minorHAnsi"/>
          <w:color w:val="000000" w:themeColor="text1"/>
          <w:sz w:val="18"/>
          <w:szCs w:val="18"/>
        </w:rPr>
        <w:t xml:space="preserve"> </w:t>
      </w:r>
      <w:r w:rsidRPr="0021791E">
        <w:rPr>
          <w:rFonts w:asciiTheme="minorHAnsi" w:hAnsiTheme="minorHAnsi"/>
          <w:sz w:val="18"/>
          <w:szCs w:val="18"/>
        </w:rPr>
        <w:t>Science Translational Medicine, 7(303): 303ra140</w:t>
      </w:r>
    </w:p>
    <w:p w:rsidR="00A522ED" w:rsidRPr="00A522ED" w:rsidRDefault="00A522ED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21791E">
        <w:rPr>
          <w:rFonts w:asciiTheme="minorHAnsi" w:hAnsiTheme="minorHAnsi"/>
          <w:color w:val="000000" w:themeColor="text1"/>
          <w:sz w:val="18"/>
          <w:szCs w:val="18"/>
        </w:rPr>
        <w:t xml:space="preserve">Ruiz-Perez L, Madsen J, Themistou E, </w:t>
      </w:r>
      <w:proofErr w:type="spellStart"/>
      <w:r w:rsidRPr="0021791E">
        <w:rPr>
          <w:rFonts w:asciiTheme="minorHAnsi" w:hAnsiTheme="minorHAnsi"/>
          <w:color w:val="000000" w:themeColor="text1"/>
          <w:sz w:val="18"/>
          <w:szCs w:val="18"/>
        </w:rPr>
        <w:t>Gaitzsch</w:t>
      </w:r>
      <w:proofErr w:type="spellEnd"/>
      <w:r w:rsidRPr="0021791E">
        <w:rPr>
          <w:rFonts w:asciiTheme="minorHAnsi" w:hAnsiTheme="minorHAnsi"/>
          <w:color w:val="000000" w:themeColor="text1"/>
          <w:sz w:val="18"/>
          <w:szCs w:val="18"/>
        </w:rPr>
        <w:t xml:space="preserve"> J, </w:t>
      </w:r>
      <w:proofErr w:type="spellStart"/>
      <w:r w:rsidRPr="0021791E">
        <w:rPr>
          <w:rFonts w:asciiTheme="minorHAnsi" w:hAnsiTheme="minorHAnsi"/>
          <w:color w:val="000000" w:themeColor="text1"/>
          <w:sz w:val="18"/>
          <w:szCs w:val="18"/>
        </w:rPr>
        <w:t>Messager</w:t>
      </w:r>
      <w:proofErr w:type="spellEnd"/>
      <w:r w:rsidRPr="0021791E">
        <w:rPr>
          <w:rFonts w:asciiTheme="minorHAnsi" w:hAnsiTheme="minorHAnsi"/>
          <w:color w:val="000000" w:themeColor="text1"/>
          <w:sz w:val="18"/>
          <w:szCs w:val="18"/>
        </w:rPr>
        <w:t xml:space="preserve"> L, </w:t>
      </w:r>
      <w:proofErr w:type="spellStart"/>
      <w:r w:rsidRPr="0021791E">
        <w:rPr>
          <w:rFonts w:asciiTheme="minorHAnsi" w:hAnsiTheme="minorHAnsi"/>
          <w:color w:val="000000" w:themeColor="text1"/>
          <w:sz w:val="18"/>
          <w:szCs w:val="18"/>
        </w:rPr>
        <w:t>Armes</w:t>
      </w:r>
      <w:proofErr w:type="spellEnd"/>
      <w:r w:rsidRPr="0021791E">
        <w:rPr>
          <w:rFonts w:asciiTheme="minorHAnsi" w:hAnsiTheme="minorHAnsi"/>
          <w:color w:val="000000" w:themeColor="text1"/>
          <w:sz w:val="18"/>
          <w:szCs w:val="18"/>
        </w:rPr>
        <w:t xml:space="preserve"> SP, </w:t>
      </w:r>
      <w:proofErr w:type="spellStart"/>
      <w:r w:rsidRPr="0021791E">
        <w:rPr>
          <w:rFonts w:asciiTheme="minorHAnsi" w:hAnsiTheme="minorHAnsi"/>
          <w:color w:val="000000" w:themeColor="text1"/>
          <w:sz w:val="18"/>
          <w:szCs w:val="18"/>
        </w:rPr>
        <w:t>Battaglia</w:t>
      </w:r>
      <w:proofErr w:type="spellEnd"/>
      <w:r w:rsidRPr="0021791E">
        <w:rPr>
          <w:rFonts w:asciiTheme="minorHAnsi" w:hAnsiTheme="minorHAnsi"/>
          <w:color w:val="000000" w:themeColor="text1"/>
          <w:sz w:val="18"/>
          <w:szCs w:val="18"/>
        </w:rPr>
        <w:t xml:space="preserve"> G (2015) Nanoscale Detection of Metal-labeled Copolymers in Patchy </w:t>
      </w:r>
      <w:proofErr w:type="spellStart"/>
      <w:r w:rsidRPr="0021791E">
        <w:rPr>
          <w:rFonts w:asciiTheme="minorHAnsi" w:hAnsiTheme="minorHAnsi"/>
          <w:color w:val="000000" w:themeColor="text1"/>
          <w:sz w:val="18"/>
          <w:szCs w:val="18"/>
        </w:rPr>
        <w:t>Polymersomes</w:t>
      </w:r>
      <w:proofErr w:type="spellEnd"/>
      <w:r w:rsidRPr="0021791E">
        <w:rPr>
          <w:rFonts w:asciiTheme="minorHAnsi" w:hAnsiTheme="minorHAnsi"/>
          <w:color w:val="000000" w:themeColor="text1"/>
          <w:sz w:val="18"/>
          <w:szCs w:val="18"/>
        </w:rPr>
        <w:t>. Polymer Chemistry 6:2065-2068.</w:t>
      </w:r>
    </w:p>
    <w:p w:rsidR="00A522ED" w:rsidRPr="00A522ED" w:rsidRDefault="00A522ED" w:rsidP="00A522ED">
      <w:pPr>
        <w:pStyle w:val="ListParagraph"/>
        <w:numPr>
          <w:ilvl w:val="0"/>
          <w:numId w:val="3"/>
        </w:numPr>
        <w:spacing w:after="160"/>
        <w:rPr>
          <w:rFonts w:asciiTheme="minorHAnsi" w:hAnsiTheme="minorHAnsi"/>
          <w:color w:val="000000" w:themeColor="text1"/>
          <w:sz w:val="18"/>
          <w:szCs w:val="18"/>
        </w:rPr>
      </w:pPr>
      <w:r w:rsidRPr="00A522ED">
        <w:rPr>
          <w:rFonts w:asciiTheme="minorHAnsi" w:hAnsiTheme="minorHAnsi"/>
          <w:color w:val="000000" w:themeColor="text1"/>
          <w:sz w:val="18"/>
          <w:szCs w:val="18"/>
        </w:rPr>
        <w:t xml:space="preserve">Viswanathan P, Themistou E, </w:t>
      </w:r>
      <w:proofErr w:type="spellStart"/>
      <w:r w:rsidRPr="00A522ED">
        <w:rPr>
          <w:rFonts w:asciiTheme="minorHAnsi" w:hAnsiTheme="minorHAnsi"/>
          <w:color w:val="000000" w:themeColor="text1"/>
          <w:sz w:val="18"/>
          <w:szCs w:val="18"/>
        </w:rPr>
        <w:t>Ngamkham</w:t>
      </w:r>
      <w:proofErr w:type="spellEnd"/>
      <w:r w:rsidRPr="00A522ED">
        <w:rPr>
          <w:rFonts w:asciiTheme="minorHAnsi" w:hAnsiTheme="minorHAnsi"/>
          <w:color w:val="000000" w:themeColor="text1"/>
          <w:sz w:val="18"/>
          <w:szCs w:val="18"/>
        </w:rPr>
        <w:t xml:space="preserve"> K, Reilly G, </w:t>
      </w:r>
      <w:proofErr w:type="spellStart"/>
      <w:r w:rsidRPr="00A522ED">
        <w:rPr>
          <w:rFonts w:asciiTheme="minorHAnsi" w:hAnsiTheme="minorHAnsi"/>
          <w:color w:val="000000" w:themeColor="text1"/>
          <w:sz w:val="18"/>
          <w:szCs w:val="18"/>
        </w:rPr>
        <w:t>Armes</w:t>
      </w:r>
      <w:proofErr w:type="spellEnd"/>
      <w:r w:rsidRPr="00A522ED">
        <w:rPr>
          <w:rFonts w:asciiTheme="minorHAnsi" w:hAnsiTheme="minorHAnsi"/>
          <w:color w:val="000000" w:themeColor="text1"/>
          <w:sz w:val="18"/>
          <w:szCs w:val="18"/>
        </w:rPr>
        <w:t xml:space="preserve"> SP, </w:t>
      </w:r>
      <w:proofErr w:type="spellStart"/>
      <w:r w:rsidRPr="00A522ED">
        <w:rPr>
          <w:rFonts w:asciiTheme="minorHAnsi" w:hAnsiTheme="minorHAnsi"/>
          <w:color w:val="000000" w:themeColor="text1"/>
          <w:sz w:val="18"/>
          <w:szCs w:val="18"/>
        </w:rPr>
        <w:t>Battaglia</w:t>
      </w:r>
      <w:proofErr w:type="spellEnd"/>
      <w:r w:rsidRPr="00A522ED">
        <w:rPr>
          <w:rFonts w:asciiTheme="minorHAnsi" w:hAnsiTheme="minorHAnsi"/>
          <w:color w:val="000000" w:themeColor="text1"/>
          <w:sz w:val="18"/>
          <w:szCs w:val="18"/>
        </w:rPr>
        <w:t xml:space="preserve"> G (2015) Controlling Surface Topology and Functionality of </w:t>
      </w:r>
      <w:proofErr w:type="spellStart"/>
      <w:r w:rsidRPr="00A522ED">
        <w:rPr>
          <w:rFonts w:asciiTheme="minorHAnsi" w:hAnsiTheme="minorHAnsi"/>
          <w:color w:val="000000" w:themeColor="text1"/>
          <w:sz w:val="18"/>
          <w:szCs w:val="18"/>
        </w:rPr>
        <w:t>Electrospun</w:t>
      </w:r>
      <w:proofErr w:type="spellEnd"/>
      <w:r w:rsidRPr="00A522ED">
        <w:rPr>
          <w:rFonts w:asciiTheme="minorHAnsi" w:hAnsiTheme="minorHAnsi"/>
          <w:color w:val="000000" w:themeColor="text1"/>
          <w:sz w:val="18"/>
          <w:szCs w:val="18"/>
        </w:rPr>
        <w:t xml:space="preserve"> Fibers at the Nanoscale using Amphiphilic Block Copolymers to Direct Mesenchymal Progenitor Cell Adhesion. </w:t>
      </w:r>
      <w:proofErr w:type="spellStart"/>
      <w:r w:rsidRPr="00A522ED">
        <w:rPr>
          <w:rFonts w:asciiTheme="minorHAnsi" w:hAnsiTheme="minorHAnsi"/>
          <w:color w:val="000000" w:themeColor="text1"/>
          <w:sz w:val="18"/>
          <w:szCs w:val="18"/>
        </w:rPr>
        <w:t>Biomacromolecules</w:t>
      </w:r>
      <w:proofErr w:type="spellEnd"/>
      <w:r w:rsidRPr="00A522ED">
        <w:rPr>
          <w:rFonts w:asciiTheme="minorHAnsi" w:hAnsiTheme="minorHAnsi"/>
          <w:color w:val="000000" w:themeColor="text1"/>
          <w:sz w:val="18"/>
          <w:szCs w:val="18"/>
        </w:rPr>
        <w:t xml:space="preserve"> 16(1): 66-75.</w:t>
      </w:r>
    </w:p>
    <w:p w:rsidR="00A522ED" w:rsidRPr="00A522ED" w:rsidRDefault="00A522ED" w:rsidP="00A522ED">
      <w:pPr>
        <w:pStyle w:val="ListParagraph"/>
        <w:numPr>
          <w:ilvl w:val="0"/>
          <w:numId w:val="3"/>
        </w:numPr>
        <w:spacing w:after="160"/>
        <w:rPr>
          <w:rFonts w:asciiTheme="minorHAnsi" w:hAnsiTheme="minorHAnsi"/>
          <w:color w:val="000000" w:themeColor="text1"/>
          <w:sz w:val="18"/>
          <w:szCs w:val="18"/>
        </w:rPr>
      </w:pPr>
      <w:r w:rsidRPr="00A522ED">
        <w:rPr>
          <w:rFonts w:asciiTheme="minorHAnsi" w:hAnsiTheme="minorHAnsi"/>
          <w:color w:val="000000" w:themeColor="text1"/>
          <w:sz w:val="18"/>
          <w:szCs w:val="18"/>
        </w:rPr>
        <w:t>Themistou E,</w:t>
      </w:r>
      <w:r w:rsidRPr="00A522ED">
        <w:rPr>
          <w:rFonts w:asciiTheme="minorHAnsi" w:hAnsiTheme="minorHAnsi"/>
          <w:b/>
          <w:color w:val="000000" w:themeColor="text1"/>
          <w:sz w:val="18"/>
          <w:szCs w:val="18"/>
        </w:rPr>
        <w:t xml:space="preserve"> </w:t>
      </w:r>
      <w:proofErr w:type="spellStart"/>
      <w:r w:rsidRPr="00A522ED">
        <w:rPr>
          <w:rFonts w:asciiTheme="minorHAnsi" w:hAnsiTheme="minorHAnsi"/>
          <w:color w:val="000000" w:themeColor="text1"/>
          <w:sz w:val="18"/>
          <w:szCs w:val="18"/>
        </w:rPr>
        <w:t>Battaglia</w:t>
      </w:r>
      <w:proofErr w:type="spellEnd"/>
      <w:r w:rsidRPr="00A522ED">
        <w:rPr>
          <w:rFonts w:asciiTheme="minorHAnsi" w:hAnsiTheme="minorHAnsi"/>
          <w:color w:val="000000" w:themeColor="text1"/>
          <w:sz w:val="18"/>
          <w:szCs w:val="18"/>
          <w:vertAlign w:val="superscript"/>
        </w:rPr>
        <w:t xml:space="preserve"> </w:t>
      </w:r>
      <w:r w:rsidRPr="00A522ED">
        <w:rPr>
          <w:rFonts w:asciiTheme="minorHAnsi" w:hAnsiTheme="minorHAnsi"/>
          <w:color w:val="000000" w:themeColor="text1"/>
          <w:sz w:val="18"/>
          <w:szCs w:val="18"/>
        </w:rPr>
        <w:t xml:space="preserve">G, </w:t>
      </w:r>
      <w:proofErr w:type="spellStart"/>
      <w:r w:rsidRPr="00A522ED">
        <w:rPr>
          <w:rFonts w:asciiTheme="minorHAnsi" w:hAnsiTheme="minorHAnsi"/>
          <w:color w:val="000000" w:themeColor="text1"/>
          <w:sz w:val="18"/>
          <w:szCs w:val="18"/>
        </w:rPr>
        <w:t>Armes</w:t>
      </w:r>
      <w:proofErr w:type="spellEnd"/>
      <w:r w:rsidRPr="00A522ED">
        <w:rPr>
          <w:rFonts w:asciiTheme="minorHAnsi" w:hAnsiTheme="minorHAnsi"/>
          <w:color w:val="000000" w:themeColor="text1"/>
          <w:sz w:val="18"/>
          <w:szCs w:val="18"/>
          <w:vertAlign w:val="superscript"/>
        </w:rPr>
        <w:t xml:space="preserve"> </w:t>
      </w:r>
      <w:r w:rsidRPr="00A522ED">
        <w:rPr>
          <w:rFonts w:asciiTheme="minorHAnsi" w:hAnsiTheme="minorHAnsi"/>
          <w:color w:val="000000" w:themeColor="text1"/>
          <w:sz w:val="18"/>
          <w:szCs w:val="18"/>
        </w:rPr>
        <w:t xml:space="preserve">SP (2014) Facile Synthesis and Thiol-functionalized Amphiphilic </w:t>
      </w:r>
      <w:proofErr w:type="spellStart"/>
      <w:r w:rsidRPr="00A522ED">
        <w:rPr>
          <w:rFonts w:asciiTheme="minorHAnsi" w:hAnsiTheme="minorHAnsi"/>
          <w:color w:val="000000" w:themeColor="text1"/>
          <w:sz w:val="18"/>
          <w:szCs w:val="18"/>
        </w:rPr>
        <w:t>Polylactide-Methacrylic</w:t>
      </w:r>
      <w:proofErr w:type="spellEnd"/>
      <w:r w:rsidRPr="00A522ED">
        <w:rPr>
          <w:rFonts w:asciiTheme="minorHAnsi" w:hAnsiTheme="minorHAnsi"/>
          <w:color w:val="000000" w:themeColor="text1"/>
          <w:sz w:val="18"/>
          <w:szCs w:val="18"/>
        </w:rPr>
        <w:t xml:space="preserve"> </w:t>
      </w:r>
      <w:proofErr w:type="spellStart"/>
      <w:r w:rsidRPr="00A522ED">
        <w:rPr>
          <w:rFonts w:asciiTheme="minorHAnsi" w:hAnsiTheme="minorHAnsi"/>
          <w:color w:val="000000" w:themeColor="text1"/>
          <w:sz w:val="18"/>
          <w:szCs w:val="18"/>
        </w:rPr>
        <w:t>Diblock</w:t>
      </w:r>
      <w:proofErr w:type="spellEnd"/>
      <w:r w:rsidRPr="00A522ED">
        <w:rPr>
          <w:rFonts w:asciiTheme="minorHAnsi" w:hAnsiTheme="minorHAnsi"/>
          <w:color w:val="000000" w:themeColor="text1"/>
          <w:sz w:val="18"/>
          <w:szCs w:val="18"/>
        </w:rPr>
        <w:t xml:space="preserve"> Copolymers. Polymer Chemistry </w:t>
      </w:r>
      <w:r w:rsidRPr="00A522ED">
        <w:rPr>
          <w:rFonts w:asciiTheme="minorHAnsi" w:hAnsiTheme="minorHAnsi"/>
          <w:sz w:val="18"/>
          <w:szCs w:val="18"/>
        </w:rPr>
        <w:t>5: 1405-1417</w:t>
      </w:r>
      <w:r w:rsidRPr="00A522ED">
        <w:rPr>
          <w:rFonts w:asciiTheme="minorHAnsi" w:hAnsiTheme="minorHAnsi"/>
          <w:color w:val="000000" w:themeColor="text1"/>
          <w:sz w:val="18"/>
          <w:szCs w:val="18"/>
        </w:rPr>
        <w:t>.</w:t>
      </w:r>
    </w:p>
    <w:p w:rsidR="005973B9" w:rsidRPr="00A522ED" w:rsidRDefault="00A522ED" w:rsidP="00A522ED">
      <w:pPr>
        <w:pStyle w:val="ListParagraph"/>
        <w:numPr>
          <w:ilvl w:val="0"/>
          <w:numId w:val="3"/>
        </w:numPr>
        <w:spacing w:after="160"/>
        <w:rPr>
          <w:rFonts w:asciiTheme="minorHAnsi" w:hAnsiTheme="minorHAnsi"/>
          <w:color w:val="000000" w:themeColor="text1"/>
          <w:sz w:val="18"/>
          <w:szCs w:val="18"/>
        </w:rPr>
      </w:pPr>
      <w:r w:rsidRPr="00A522ED">
        <w:rPr>
          <w:rFonts w:asciiTheme="minorHAnsi" w:hAnsiTheme="minorHAnsi"/>
          <w:noProof/>
          <w:sz w:val="18"/>
          <w:szCs w:val="18"/>
        </w:rPr>
        <w:t xml:space="preserve">Madsen J at al. (2013) </w:t>
      </w:r>
      <w:r w:rsidRPr="00A522ED">
        <w:rPr>
          <w:rFonts w:asciiTheme="minorHAnsi" w:hAnsiTheme="minorHAnsi"/>
          <w:bCs/>
          <w:noProof/>
          <w:sz w:val="18"/>
          <w:szCs w:val="18"/>
        </w:rPr>
        <w:t xml:space="preserve">Nile blue-based nano-sized pH sensors for simultaneous far-red and near-infrared live bioimaging. </w:t>
      </w:r>
      <w:r w:rsidRPr="00A522ED">
        <w:rPr>
          <w:rFonts w:asciiTheme="minorHAnsi" w:hAnsiTheme="minorHAnsi"/>
          <w:color w:val="000000" w:themeColor="text1"/>
          <w:sz w:val="18"/>
          <w:szCs w:val="18"/>
        </w:rPr>
        <w:t>Journal of American Chemical Society 135(39):14863-14870.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2288C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372366">
        <w:rPr>
          <w:rFonts w:ascii="Arial" w:hAnsi="Arial" w:cs="Arial"/>
          <w:noProof/>
          <w:sz w:val="20"/>
          <w:szCs w:val="20"/>
          <w:lang w:val="en-GB" w:eastAsia="en-GB"/>
        </w:rPr>
        <w:drawing>
          <wp:inline distT="0" distB="0" distL="0" distR="0" wp14:anchorId="00D22F78" wp14:editId="1A73B51C">
            <wp:extent cx="540000" cy="673200"/>
            <wp:effectExtent l="0" t="0" r="0" b="0"/>
            <wp:docPr id="2" name="Picture 0" descr="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d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6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3C6BC9" w:rsidRDefault="000A6BA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Dr</w:t>
      </w:r>
      <w:proofErr w:type="spellEnd"/>
      <w:r>
        <w:rPr>
          <w:rFonts w:ascii="Arial"/>
          <w:sz w:val="14"/>
        </w:rPr>
        <w:t xml:space="preserve"> Efrosyni Themistou is a </w:t>
      </w:r>
      <w:r w:rsidR="00834D25">
        <w:rPr>
          <w:rFonts w:ascii="Arial"/>
          <w:sz w:val="14"/>
        </w:rPr>
        <w:t>c</w:t>
      </w:r>
      <w:r>
        <w:rPr>
          <w:rFonts w:ascii="Arial"/>
          <w:sz w:val="14"/>
        </w:rPr>
        <w:t xml:space="preserve">hemical engineer with a PhD in </w:t>
      </w:r>
      <w:proofErr w:type="spellStart"/>
      <w:r>
        <w:rPr>
          <w:rFonts w:ascii="Arial"/>
          <w:sz w:val="14"/>
        </w:rPr>
        <w:t>Poymer</w:t>
      </w:r>
      <w:proofErr w:type="spellEnd"/>
      <w:r>
        <w:rPr>
          <w:rFonts w:ascii="Arial"/>
          <w:sz w:val="14"/>
        </w:rPr>
        <w:t xml:space="preserve"> Chemistry. She worked as a postdoctoral research associate in the University of Cyprus, the State University of New </w:t>
      </w:r>
      <w:proofErr w:type="spellStart"/>
      <w:r>
        <w:rPr>
          <w:rFonts w:ascii="Arial"/>
          <w:sz w:val="14"/>
        </w:rPr>
        <w:t>Yprk</w:t>
      </w:r>
      <w:proofErr w:type="spellEnd"/>
      <w:r>
        <w:rPr>
          <w:rFonts w:ascii="Arial"/>
          <w:sz w:val="14"/>
        </w:rPr>
        <w:t xml:space="preserve"> (SUNY) </w:t>
      </w:r>
      <w:r>
        <w:rPr>
          <w:rFonts w:ascii="Arial"/>
          <w:sz w:val="14"/>
        </w:rPr>
        <w:t>–</w:t>
      </w:r>
      <w:r>
        <w:rPr>
          <w:rFonts w:ascii="Arial"/>
          <w:sz w:val="14"/>
        </w:rPr>
        <w:t xml:space="preserve"> University at Buffalo, USA and the University of Sheffield. She became a Lecturer in Mater</w:t>
      </w:r>
      <w:r w:rsidR="003C6BC9">
        <w:rPr>
          <w:rFonts w:ascii="Arial"/>
          <w:sz w:val="14"/>
        </w:rPr>
        <w:t>ials in the School of Chemistry and Chemical Engineering at Queen</w:t>
      </w:r>
      <w:r w:rsidR="003C6BC9">
        <w:rPr>
          <w:rFonts w:ascii="Arial"/>
          <w:sz w:val="14"/>
        </w:rPr>
        <w:t>’</w:t>
      </w:r>
      <w:r w:rsidR="003C6BC9">
        <w:rPr>
          <w:rFonts w:ascii="Arial"/>
          <w:sz w:val="14"/>
        </w:rPr>
        <w:t>s University Belfast, UK in 2013. Her current research is on the synthesis of well-defined polymeric ma</w:t>
      </w:r>
      <w:r w:rsidR="00834D25">
        <w:rPr>
          <w:rFonts w:ascii="Arial"/>
          <w:sz w:val="14"/>
        </w:rPr>
        <w:t>te</w:t>
      </w:r>
      <w:r w:rsidR="003C6BC9">
        <w:rPr>
          <w:rFonts w:ascii="Arial"/>
          <w:sz w:val="14"/>
        </w:rPr>
        <w:t xml:space="preserve">rials using various </w:t>
      </w:r>
      <w:r w:rsidR="00834D25">
        <w:rPr>
          <w:rFonts w:ascii="Arial"/>
          <w:sz w:val="14"/>
        </w:rPr>
        <w:t xml:space="preserve">advanced </w:t>
      </w:r>
      <w:proofErr w:type="spellStart"/>
      <w:r w:rsidR="00834D25">
        <w:rPr>
          <w:rFonts w:ascii="Arial"/>
          <w:sz w:val="14"/>
        </w:rPr>
        <w:t>polymerisation</w:t>
      </w:r>
      <w:proofErr w:type="spellEnd"/>
      <w:r w:rsidR="00834D25">
        <w:rPr>
          <w:rFonts w:ascii="Arial"/>
          <w:sz w:val="14"/>
        </w:rPr>
        <w:t xml:space="preserve"> techniqu</w:t>
      </w:r>
      <w:r w:rsidR="003C6BC9">
        <w:rPr>
          <w:rFonts w:ascii="Arial"/>
          <w:sz w:val="14"/>
        </w:rPr>
        <w:t>es. Tech</w:t>
      </w:r>
      <w:r w:rsidR="00834D25">
        <w:rPr>
          <w:rFonts w:ascii="Arial"/>
          <w:sz w:val="14"/>
        </w:rPr>
        <w:t>niqu</w:t>
      </w:r>
      <w:r w:rsidR="003C6BC9">
        <w:rPr>
          <w:rFonts w:ascii="Arial"/>
          <w:sz w:val="14"/>
        </w:rPr>
        <w:t>es such as NMR, GPC, DLS, TEM, SEM and SA</w:t>
      </w:r>
      <w:r w:rsidR="00834D25">
        <w:rPr>
          <w:rFonts w:ascii="Arial"/>
          <w:sz w:val="14"/>
        </w:rPr>
        <w:t>X</w:t>
      </w:r>
      <w:r w:rsidR="003C6BC9">
        <w:rPr>
          <w:rFonts w:ascii="Arial"/>
          <w:sz w:val="14"/>
        </w:rPr>
        <w:t xml:space="preserve">S are used to characterize these materials. These polymers can find various applications as drug/protein/DNA delivery vehicles, sensors and tissue engineering matrices.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6" w:history="1">
        <w:r w:rsidR="00780F33" w:rsidRPr="009216C3">
          <w:rPr>
            <w:rStyle w:val="Hyperlink"/>
            <w:rFonts w:ascii="Arial"/>
            <w:sz w:val="14"/>
          </w:rPr>
          <w:t>e.themistou@qub.ac.uk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D1A241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E3E37">
      <w:pPr>
        <w:spacing w:before="39"/>
        <w:ind w:left="100"/>
        <w:rPr>
          <w:rFonts w:ascii="Minion Pro"/>
          <w:b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  <w:bookmarkStart w:id="0" w:name="_GoBack"/>
      <w:bookmarkEnd w:id="0"/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66B8" w:rsidRDefault="00B666B8">
      <w:r>
        <w:separator/>
      </w:r>
    </w:p>
  </w:endnote>
  <w:endnote w:type="continuationSeparator" w:id="0">
    <w:p w:rsidR="00B666B8" w:rsidRDefault="00B66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66B8" w:rsidRDefault="00B666B8">
      <w:r>
        <w:separator/>
      </w:r>
    </w:p>
  </w:footnote>
  <w:footnote w:type="continuationSeparator" w:id="0">
    <w:p w:rsidR="00B666B8" w:rsidRDefault="00B666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A6BAF"/>
    <w:rsid w:val="000E2911"/>
    <w:rsid w:val="001263DF"/>
    <w:rsid w:val="00133996"/>
    <w:rsid w:val="00292ED9"/>
    <w:rsid w:val="00372366"/>
    <w:rsid w:val="003C6BC9"/>
    <w:rsid w:val="00404E5B"/>
    <w:rsid w:val="00414F7B"/>
    <w:rsid w:val="004355DC"/>
    <w:rsid w:val="004749B4"/>
    <w:rsid w:val="00494130"/>
    <w:rsid w:val="004F3523"/>
    <w:rsid w:val="005973B9"/>
    <w:rsid w:val="005B3A56"/>
    <w:rsid w:val="005C077A"/>
    <w:rsid w:val="006060CE"/>
    <w:rsid w:val="0063497F"/>
    <w:rsid w:val="00780F33"/>
    <w:rsid w:val="00790017"/>
    <w:rsid w:val="007A0676"/>
    <w:rsid w:val="00834D25"/>
    <w:rsid w:val="00845929"/>
    <w:rsid w:val="00873DF0"/>
    <w:rsid w:val="008756E6"/>
    <w:rsid w:val="008E3B71"/>
    <w:rsid w:val="009B2D44"/>
    <w:rsid w:val="00A07E82"/>
    <w:rsid w:val="00A522ED"/>
    <w:rsid w:val="00A9710C"/>
    <w:rsid w:val="00AB07B9"/>
    <w:rsid w:val="00AE3E37"/>
    <w:rsid w:val="00B21A57"/>
    <w:rsid w:val="00B666B8"/>
    <w:rsid w:val="00BB2BA9"/>
    <w:rsid w:val="00C33602"/>
    <w:rsid w:val="00CD6F55"/>
    <w:rsid w:val="00DE3104"/>
    <w:rsid w:val="00F24BC0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6AAB0DD-16F8-418E-9DC5-835CA0F49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profiles.spiedigitallibrary.org/summary.aspx?DOI=10.1117%2f12.2246506&amp;Name=Stergios+Pispas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profiles.spiedigitallibrary.org/summary.aspx?DOI=10.1117%2f12.2246506&amp;Name=Efrosyni+Themisto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e.themistou@qub.ac.u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rofiles.spiedigitallibrary.org/summary.aspx?DOI=10.1117%2f12.2246506&amp;Name=Thomas+J.+Gibson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jpeg"/><Relationship Id="rId10" Type="http://schemas.openxmlformats.org/officeDocument/2006/relationships/hyperlink" Target="http://profiles.spiedigitallibrary.org/summary.aspx?DOI=10.1117%2f12.2246506&amp;Name=Afroditi+Petropoulo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hyperlink" Target="http://profiles.spiedigitallibrary.org/summary.aspx?DOI=10.1117%2f12.2246506&amp;Name=Christos+Rizioti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794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Efrosyni Themistou</cp:lastModifiedBy>
  <cp:revision>2</cp:revision>
  <dcterms:created xsi:type="dcterms:W3CDTF">2017-04-30T13:27:00Z</dcterms:created>
  <dcterms:modified xsi:type="dcterms:W3CDTF">2017-04-30T13:27:00Z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