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9730E" w:rsidP="00494130">
      <w:pPr>
        <w:pStyle w:val="Heading1"/>
        <w:spacing w:before="170"/>
        <w:ind w:left="0"/>
      </w:pPr>
      <w:r>
        <w:rPr>
          <w:color w:val="337AB7"/>
        </w:rPr>
        <w:t xml:space="preserve">Thermodynamics and kinetics of competitive crystallization pathways during </w:t>
      </w:r>
      <w:proofErr w:type="spellStart"/>
      <w:r>
        <w:rPr>
          <w:color w:val="337AB7"/>
        </w:rPr>
        <w:t>devitrification</w:t>
      </w:r>
      <w:proofErr w:type="spellEnd"/>
      <w:r>
        <w:rPr>
          <w:color w:val="337AB7"/>
        </w:rPr>
        <w:t xml:space="preserve"> of Al-</w:t>
      </w:r>
      <w:proofErr w:type="spellStart"/>
      <w:r>
        <w:rPr>
          <w:color w:val="337AB7"/>
        </w:rPr>
        <w:t>Sm</w:t>
      </w:r>
      <w:proofErr w:type="spellEnd"/>
      <w:r>
        <w:rPr>
          <w:color w:val="337AB7"/>
        </w:rPr>
        <w:t xml:space="preserve"> amorphous alloys</w:t>
      </w:r>
    </w:p>
    <w:p w:rsidR="005973B9" w:rsidRPr="007B41CB" w:rsidRDefault="00A9730E" w:rsidP="00A9730E">
      <w:pPr>
        <w:pStyle w:val="BodyText"/>
        <w:spacing w:before="73" w:line="198" w:lineRule="exact"/>
        <w:ind w:left="100" w:right="1690"/>
        <w:rPr>
          <w:rFonts w:ascii="Arial"/>
        </w:rPr>
      </w:pPr>
      <w:r w:rsidRPr="007B41CB">
        <w:rPr>
          <w:rFonts w:ascii="Arial"/>
        </w:rPr>
        <w:t>R.E. Napolitano, Department of Materials Science and Engineering, Iowa State University, Ames, Iowa, USA</w:t>
      </w:r>
    </w:p>
    <w:p w:rsidR="00A9730E" w:rsidRPr="007B41CB" w:rsidRDefault="00A9730E" w:rsidP="007B41CB">
      <w:pPr>
        <w:pStyle w:val="BodyText"/>
        <w:spacing w:before="73" w:line="198" w:lineRule="exact"/>
        <w:ind w:left="100" w:right="5987"/>
        <w:rPr>
          <w:rFonts w:ascii="Arial"/>
        </w:rPr>
      </w:pPr>
      <w:r w:rsidRPr="007B41CB">
        <w:rPr>
          <w:rFonts w:ascii="Arial"/>
        </w:rPr>
        <w:t xml:space="preserve">S.H. Zhou, </w:t>
      </w:r>
      <w:r w:rsidR="007B41CB" w:rsidRPr="007B41CB">
        <w:rPr>
          <w:rFonts w:ascii="Arial"/>
        </w:rPr>
        <w:t xml:space="preserve">F. </w:t>
      </w:r>
      <w:proofErr w:type="spellStart"/>
      <w:r w:rsidR="007B41CB" w:rsidRPr="007B41CB">
        <w:rPr>
          <w:rFonts w:ascii="Arial"/>
        </w:rPr>
        <w:t>Meng</w:t>
      </w:r>
      <w:proofErr w:type="spellEnd"/>
      <w:r w:rsidR="007B41CB" w:rsidRPr="007B41CB">
        <w:rPr>
          <w:rFonts w:ascii="Arial"/>
        </w:rPr>
        <w:t xml:space="preserve">, W. Wang, P. Ray, M.J. Kramer, Ames Laboratory, </w:t>
      </w:r>
      <w:r w:rsidRPr="007B41CB">
        <w:rPr>
          <w:rFonts w:ascii="Arial"/>
        </w:rPr>
        <w:t>USDOE, Ames, Iowa, USA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494DCC" w:rsidRPr="00494DCC" w:rsidRDefault="00A9730E" w:rsidP="00494DCC">
      <w:pPr>
        <w:autoSpaceDE w:val="0"/>
        <w:autoSpaceDN w:val="0"/>
        <w:adjustRightInd w:val="0"/>
        <w:rPr>
          <w:rFonts w:cs="font000000001d4682ea"/>
          <w:i/>
          <w:color w:val="2D3135"/>
        </w:rPr>
      </w:pPr>
      <w:r w:rsidRPr="00A9730E">
        <w:rPr>
          <w:rFonts w:cs="Calibri"/>
        </w:rPr>
        <w:t>Amorphous alloys of Al-</w:t>
      </w:r>
      <w:proofErr w:type="spellStart"/>
      <w:r w:rsidRPr="00A9730E">
        <w:rPr>
          <w:rFonts w:cs="Calibri"/>
        </w:rPr>
        <w:t>Sm</w:t>
      </w:r>
      <w:proofErr w:type="spellEnd"/>
      <w:r w:rsidRPr="00A9730E">
        <w:rPr>
          <w:rFonts w:cs="Calibri"/>
        </w:rPr>
        <w:t xml:space="preserve"> exhibit competitive </w:t>
      </w:r>
      <w:proofErr w:type="spellStart"/>
      <w:r w:rsidRPr="00A9730E">
        <w:rPr>
          <w:rFonts w:cs="Calibri"/>
        </w:rPr>
        <w:t>devitrification</w:t>
      </w:r>
      <w:proofErr w:type="spellEnd"/>
      <w:r w:rsidRPr="00A9730E">
        <w:rPr>
          <w:rFonts w:cs="Calibri"/>
        </w:rPr>
        <w:t xml:space="preserve"> behavior upon reheating, involving competition between multiple metastable phases. These include large-unit-cell phases with cubic, hexagonal, and tetragonal symmetry, along with more conventional stable and metastable compounds of the </w:t>
      </w:r>
      <w:proofErr w:type="spellStart"/>
      <w:r w:rsidRPr="00A9730E">
        <w:rPr>
          <w:rFonts w:cs="Calibri"/>
        </w:rPr>
        <w:t>Al</w:t>
      </w:r>
      <w:r w:rsidRPr="00A9730E">
        <w:rPr>
          <w:rFonts w:cs="Calibri"/>
          <w:vertAlign w:val="subscript"/>
        </w:rPr>
        <w:t>x</w:t>
      </w:r>
      <w:r w:rsidRPr="00A9730E">
        <w:rPr>
          <w:rFonts w:cs="Calibri"/>
        </w:rPr>
        <w:t>Sm</w:t>
      </w:r>
      <w:proofErr w:type="spellEnd"/>
      <w:r w:rsidRPr="00A9730E">
        <w:rPr>
          <w:rFonts w:cs="Calibri"/>
        </w:rPr>
        <w:t xml:space="preserve"> variety. Phase selection during crystallization is strongly path dependent, owing to effects of non-crystalline ordering and the role of diffusion and chemical partitioning in the morphological dynamics. In this work, </w:t>
      </w:r>
      <w:proofErr w:type="spellStart"/>
      <w:r w:rsidRPr="00A9730E">
        <w:rPr>
          <w:rFonts w:cs="Calibri"/>
        </w:rPr>
        <w:t>devitrification</w:t>
      </w:r>
      <w:proofErr w:type="spellEnd"/>
      <w:r w:rsidRPr="00A9730E">
        <w:rPr>
          <w:rFonts w:cs="Calibri"/>
        </w:rPr>
        <w:t xml:space="preserve"> kinetics </w:t>
      </w:r>
      <w:proofErr w:type="gramStart"/>
      <w:r w:rsidRPr="00A9730E">
        <w:rPr>
          <w:rFonts w:cs="Calibri"/>
        </w:rPr>
        <w:t>are</w:t>
      </w:r>
      <w:proofErr w:type="gramEnd"/>
      <w:r w:rsidRPr="00A9730E">
        <w:rPr>
          <w:rFonts w:cs="Calibri"/>
        </w:rPr>
        <w:t xml:space="preserve"> investigated and quantified using high energy X-ray diffraction, thermal analysis, and electron microscopy. Measurements are related to system thermodynamics in the highly driven regime highlighting principles of selection. </w:t>
      </w:r>
      <w:r w:rsidR="00494DCC">
        <w:rPr>
          <w:rFonts w:cs="Calibri"/>
        </w:rPr>
        <w:t xml:space="preserve">Growth mechanisms are investigated in detail, with particular attention to chemical partitioning associated with the initial crystallization front. </w:t>
      </w:r>
      <w:r w:rsidRPr="00A9730E">
        <w:rPr>
          <w:rFonts w:cs="Calibri"/>
        </w:rPr>
        <w:t xml:space="preserve">Implications with respect to other Al-RE (rare-earth) systems are also discussed. </w:t>
      </w:r>
      <w:proofErr w:type="gramStart"/>
      <w:r w:rsidRPr="00A9730E">
        <w:rPr>
          <w:rFonts w:cs="font000000001d4682ea"/>
          <w:i/>
          <w:color w:val="2D3135"/>
        </w:rPr>
        <w:t>This work was supported by the U.S. Department of Energy, Office of Basic</w:t>
      </w:r>
      <w:r w:rsidRPr="00A9730E">
        <w:rPr>
          <w:rFonts w:cs="font000000001d4682ea"/>
          <w:i/>
        </w:rPr>
        <w:t xml:space="preserve"> </w:t>
      </w:r>
      <w:r w:rsidRPr="00A9730E">
        <w:rPr>
          <w:rFonts w:cs="font000000001d4682ea"/>
          <w:i/>
          <w:color w:val="2D3135"/>
        </w:rPr>
        <w:t>Energy Science, Division of Materials Sciences and Engineering</w:t>
      </w:r>
      <w:proofErr w:type="gramEnd"/>
      <w:r w:rsidRPr="00A9730E">
        <w:rPr>
          <w:rFonts w:cs="font000000001d4682ea"/>
          <w:i/>
          <w:color w:val="2D3135"/>
        </w:rPr>
        <w:t>. The research was performed at the Ames Laboratory, operated for the U.S. Department of Energy by Iowa State University under Contract</w:t>
      </w:r>
      <w:r w:rsidRPr="00A9730E">
        <w:rPr>
          <w:rFonts w:cs="font000000001d4682ea"/>
          <w:i/>
        </w:rPr>
        <w:t xml:space="preserve"> </w:t>
      </w:r>
      <w:r w:rsidRPr="00A9730E">
        <w:rPr>
          <w:rFonts w:cs="font000000001d4682ea"/>
          <w:i/>
          <w:color w:val="2D3135"/>
        </w:rPr>
        <w:t>No. DE-AC02-07CH11358.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987D1E" w:rsidRPr="00494DCC" w:rsidRDefault="00987D1E" w:rsidP="00987D1E">
      <w:pPr>
        <w:widowControl/>
        <w:numPr>
          <w:ilvl w:val="0"/>
          <w:numId w:val="4"/>
        </w:numPr>
        <w:rPr>
          <w:rFonts w:eastAsia="Cambria"/>
          <w:color w:val="000000" w:themeColor="text1"/>
          <w:sz w:val="20"/>
          <w:szCs w:val="20"/>
        </w:rPr>
      </w:pPr>
      <w:r w:rsidRPr="00494DCC">
        <w:rPr>
          <w:rFonts w:eastAsia="Cambria"/>
          <w:color w:val="000000" w:themeColor="text1"/>
          <w:sz w:val="20"/>
          <w:szCs w:val="20"/>
        </w:rPr>
        <w:t xml:space="preserve">I. </w:t>
      </w:r>
      <w:proofErr w:type="spellStart"/>
      <w:r w:rsidRPr="00494DCC">
        <w:rPr>
          <w:rFonts w:eastAsia="Cambria"/>
          <w:color w:val="000000" w:themeColor="text1"/>
          <w:sz w:val="20"/>
          <w:szCs w:val="20"/>
        </w:rPr>
        <w:t>Sargin</w:t>
      </w:r>
      <w:proofErr w:type="spellEnd"/>
      <w:r w:rsidRPr="00494DCC">
        <w:rPr>
          <w:rFonts w:eastAsia="Cambria"/>
          <w:color w:val="000000" w:themeColor="text1"/>
          <w:sz w:val="20"/>
          <w:szCs w:val="20"/>
        </w:rPr>
        <w:t xml:space="preserve">, A. L. </w:t>
      </w:r>
      <w:proofErr w:type="spellStart"/>
      <w:r w:rsidRPr="00494DCC">
        <w:rPr>
          <w:rFonts w:eastAsia="Cambria"/>
          <w:color w:val="000000" w:themeColor="text1"/>
          <w:sz w:val="20"/>
          <w:szCs w:val="20"/>
        </w:rPr>
        <w:t>Genau</w:t>
      </w:r>
      <w:proofErr w:type="spellEnd"/>
      <w:r w:rsidRPr="00494DCC">
        <w:rPr>
          <w:rFonts w:eastAsia="Cambria"/>
          <w:color w:val="000000" w:themeColor="text1"/>
          <w:sz w:val="20"/>
          <w:szCs w:val="20"/>
        </w:rPr>
        <w:t>, and R. E. Napolitano, Post-solidification effects in directionally grown Al-Ag</w:t>
      </w:r>
      <w:r w:rsidRPr="00494DCC">
        <w:rPr>
          <w:rFonts w:eastAsia="Cambria"/>
          <w:color w:val="000000" w:themeColor="text1"/>
          <w:sz w:val="20"/>
          <w:szCs w:val="20"/>
          <w:vertAlign w:val="subscript"/>
        </w:rPr>
        <w:t>2</w:t>
      </w:r>
      <w:r w:rsidRPr="00494DCC">
        <w:rPr>
          <w:rFonts w:eastAsia="Cambria"/>
          <w:color w:val="000000" w:themeColor="text1"/>
          <w:sz w:val="20"/>
          <w:szCs w:val="20"/>
        </w:rPr>
        <w:t>Al-Al</w:t>
      </w:r>
      <w:r w:rsidRPr="00494DCC">
        <w:rPr>
          <w:rFonts w:eastAsia="Cambria"/>
          <w:color w:val="000000" w:themeColor="text1"/>
          <w:sz w:val="20"/>
          <w:szCs w:val="20"/>
          <w:vertAlign w:val="subscript"/>
        </w:rPr>
        <w:t>2</w:t>
      </w:r>
      <w:r w:rsidRPr="00494DCC">
        <w:rPr>
          <w:rFonts w:eastAsia="Cambria"/>
          <w:color w:val="000000" w:themeColor="text1"/>
          <w:sz w:val="20"/>
          <w:szCs w:val="20"/>
        </w:rPr>
        <w:t xml:space="preserve">Cu eutectics, </w:t>
      </w:r>
      <w:r w:rsidRPr="00494DCC">
        <w:rPr>
          <w:rFonts w:eastAsia="Cambria"/>
          <w:i/>
          <w:color w:val="000000" w:themeColor="text1"/>
          <w:sz w:val="20"/>
          <w:szCs w:val="20"/>
        </w:rPr>
        <w:t>J. Phase Equilibri</w:t>
      </w:r>
      <w:r w:rsidR="00494DCC">
        <w:rPr>
          <w:rFonts w:eastAsia="Cambria"/>
          <w:i/>
          <w:color w:val="000000" w:themeColor="text1"/>
          <w:sz w:val="20"/>
          <w:szCs w:val="20"/>
        </w:rPr>
        <w:t>um and Diff.</w:t>
      </w:r>
      <w:r w:rsidRPr="00494DCC">
        <w:rPr>
          <w:rFonts w:eastAsia="Cambria"/>
          <w:color w:val="000000" w:themeColor="text1"/>
          <w:sz w:val="20"/>
          <w:szCs w:val="20"/>
        </w:rPr>
        <w:t>, 37 (2016) 75-85.</w:t>
      </w:r>
    </w:p>
    <w:p w:rsidR="00987D1E" w:rsidRPr="00494DCC" w:rsidRDefault="00987D1E" w:rsidP="00987D1E">
      <w:pPr>
        <w:widowControl/>
        <w:numPr>
          <w:ilvl w:val="0"/>
          <w:numId w:val="4"/>
        </w:numPr>
        <w:rPr>
          <w:rFonts w:eastAsia="Cambria"/>
          <w:color w:val="000000" w:themeColor="text1"/>
          <w:sz w:val="20"/>
          <w:szCs w:val="20"/>
        </w:rPr>
      </w:pPr>
      <w:r w:rsidRPr="00494DCC">
        <w:rPr>
          <w:rFonts w:eastAsia="Cambria"/>
          <w:color w:val="000000" w:themeColor="text1"/>
          <w:sz w:val="20"/>
          <w:szCs w:val="20"/>
        </w:rPr>
        <w:t xml:space="preserve">S.H. Zhou, Y. </w:t>
      </w:r>
      <w:proofErr w:type="spellStart"/>
      <w:r w:rsidRPr="00494DCC">
        <w:rPr>
          <w:rFonts w:eastAsia="Cambria"/>
          <w:color w:val="000000" w:themeColor="text1"/>
          <w:sz w:val="20"/>
          <w:szCs w:val="20"/>
        </w:rPr>
        <w:t>Huo</w:t>
      </w:r>
      <w:proofErr w:type="spellEnd"/>
      <w:r w:rsidRPr="00494DCC">
        <w:rPr>
          <w:rFonts w:eastAsia="Cambria"/>
          <w:color w:val="000000" w:themeColor="text1"/>
          <w:sz w:val="20"/>
          <w:szCs w:val="20"/>
        </w:rPr>
        <w:t xml:space="preserve">, and Ralph E. Napolitano, Phase stability for the </w:t>
      </w:r>
      <w:proofErr w:type="spellStart"/>
      <w:r w:rsidRPr="00494DCC">
        <w:rPr>
          <w:rFonts w:eastAsia="Cambria"/>
          <w:color w:val="000000" w:themeColor="text1"/>
          <w:sz w:val="20"/>
          <w:szCs w:val="20"/>
        </w:rPr>
        <w:t>Pd</w:t>
      </w:r>
      <w:proofErr w:type="spellEnd"/>
      <w:r w:rsidRPr="00494DCC">
        <w:rPr>
          <w:rFonts w:eastAsia="Cambria"/>
          <w:color w:val="000000" w:themeColor="text1"/>
          <w:sz w:val="20"/>
          <w:szCs w:val="20"/>
        </w:rPr>
        <w:t xml:space="preserve">-Si system: First principles, experiments, and solution-based modeling, </w:t>
      </w:r>
      <w:r w:rsidRPr="00494DCC">
        <w:rPr>
          <w:rFonts w:eastAsia="Cambria"/>
          <w:i/>
          <w:color w:val="000000" w:themeColor="text1"/>
          <w:sz w:val="20"/>
          <w:szCs w:val="20"/>
        </w:rPr>
        <w:t>Metallurgical and Materials Transactions A</w:t>
      </w:r>
      <w:r w:rsidRPr="00494DCC">
        <w:rPr>
          <w:rFonts w:eastAsia="Cambria"/>
          <w:color w:val="000000" w:themeColor="text1"/>
          <w:sz w:val="20"/>
          <w:szCs w:val="20"/>
        </w:rPr>
        <w:t>, 47A (2016) 194-208.  DOI: 10.1007/s11661-015-3206-8.</w:t>
      </w:r>
    </w:p>
    <w:p w:rsidR="00494DCC" w:rsidRPr="00494DCC" w:rsidRDefault="00987D1E" w:rsidP="00494DCC">
      <w:pPr>
        <w:widowControl/>
        <w:numPr>
          <w:ilvl w:val="0"/>
          <w:numId w:val="4"/>
        </w:numPr>
        <w:rPr>
          <w:rFonts w:eastAsia="Cambria"/>
        </w:rPr>
      </w:pPr>
      <w:proofErr w:type="spellStart"/>
      <w:r w:rsidRPr="00494DCC">
        <w:rPr>
          <w:rFonts w:eastAsia="Cambria"/>
          <w:sz w:val="20"/>
          <w:szCs w:val="20"/>
        </w:rPr>
        <w:t>Ilkay</w:t>
      </w:r>
      <w:proofErr w:type="spellEnd"/>
      <w:r w:rsidRPr="00494DCC">
        <w:rPr>
          <w:rFonts w:eastAsia="Cambria"/>
          <w:sz w:val="20"/>
          <w:szCs w:val="20"/>
        </w:rPr>
        <w:t xml:space="preserve"> </w:t>
      </w:r>
      <w:proofErr w:type="spellStart"/>
      <w:r w:rsidRPr="00494DCC">
        <w:rPr>
          <w:rFonts w:eastAsia="Cambria"/>
          <w:sz w:val="20"/>
          <w:szCs w:val="20"/>
        </w:rPr>
        <w:t>Kalay</w:t>
      </w:r>
      <w:proofErr w:type="spellEnd"/>
      <w:r w:rsidRPr="00494DCC">
        <w:rPr>
          <w:rFonts w:eastAsia="Cambria"/>
          <w:sz w:val="20"/>
          <w:szCs w:val="20"/>
        </w:rPr>
        <w:t xml:space="preserve">, Matthew J. Kramer, Ralph E. Napolitano; Crystallization kinetics and phase transformation mechanisms </w:t>
      </w:r>
      <w:r w:rsidRPr="00494DCC">
        <w:rPr>
          <w:rFonts w:eastAsia="Cambria"/>
          <w:sz w:val="20"/>
          <w:szCs w:val="20"/>
        </w:rPr>
        <w:lastRenderedPageBreak/>
        <w:t>in Cu</w:t>
      </w:r>
      <w:r w:rsidRPr="00494DCC">
        <w:rPr>
          <w:rFonts w:eastAsia="Cambria"/>
          <w:sz w:val="20"/>
          <w:szCs w:val="20"/>
          <w:vertAlign w:val="subscript"/>
        </w:rPr>
        <w:t>56</w:t>
      </w:r>
      <w:r w:rsidRPr="00494DCC">
        <w:rPr>
          <w:rFonts w:eastAsia="Cambria"/>
          <w:sz w:val="20"/>
          <w:szCs w:val="20"/>
        </w:rPr>
        <w:t>Z</w:t>
      </w:r>
      <w:r w:rsidRPr="00494DCC">
        <w:rPr>
          <w:rFonts w:eastAsia="Cambria"/>
          <w:sz w:val="20"/>
          <w:szCs w:val="20"/>
          <w:vertAlign w:val="subscript"/>
        </w:rPr>
        <w:t>44</w:t>
      </w:r>
      <w:r w:rsidRPr="00494DCC">
        <w:rPr>
          <w:rFonts w:eastAsia="Cambria"/>
          <w:sz w:val="20"/>
          <w:szCs w:val="20"/>
        </w:rPr>
        <w:t xml:space="preserve"> glassy alloy, </w:t>
      </w:r>
      <w:r w:rsidR="007B41CB">
        <w:rPr>
          <w:rFonts w:eastAsia="Cambria"/>
          <w:i/>
          <w:sz w:val="20"/>
          <w:szCs w:val="20"/>
        </w:rPr>
        <w:t xml:space="preserve">Met. Mat. </w:t>
      </w:r>
      <w:r w:rsidR="007B41CB">
        <w:rPr>
          <w:rFonts w:eastAsia="Cambria"/>
          <w:i/>
        </w:rPr>
        <w:t>Trans.</w:t>
      </w:r>
      <w:r w:rsidRPr="00987D1E">
        <w:rPr>
          <w:rFonts w:eastAsia="Cambria"/>
        </w:rPr>
        <w:t>, 46A (2015) 3356-3364.  DOI: 10.1007/s11661-015-2921-5.</w:t>
      </w:r>
    </w:p>
    <w:tbl>
      <w:tblPr>
        <w:tblStyle w:val="TableGrid"/>
        <w:tblpPr w:leftFromText="180" w:rightFromText="180" w:vertAnchor="text" w:horzAnchor="page" w:tblpX="6339" w:tblpY="69"/>
        <w:tblW w:w="0" w:type="auto"/>
        <w:tblLook w:val="04A0" w:firstRow="1" w:lastRow="0" w:firstColumn="1" w:lastColumn="0" w:noHBand="0" w:noVBand="1"/>
      </w:tblPr>
      <w:tblGrid>
        <w:gridCol w:w="5201"/>
      </w:tblGrid>
      <w:tr w:rsidR="00494DCC" w:rsidTr="00494DCC">
        <w:trPr>
          <w:trHeight w:val="2561"/>
        </w:trPr>
        <w:tc>
          <w:tcPr>
            <w:tcW w:w="5201" w:type="dxa"/>
          </w:tcPr>
          <w:p w:rsidR="00494DCC" w:rsidRDefault="00494DCC" w:rsidP="00494DCC">
            <w:pPr>
              <w:spacing w:line="204" w:lineRule="exact"/>
              <w:rPr>
                <w:rFonts w:ascii="Arial"/>
                <w:b/>
                <w:color w:val="BF5A14"/>
                <w:sz w:val="20"/>
              </w:rPr>
            </w:pPr>
            <w:r>
              <w:rPr>
                <w:rFonts w:ascii="Arial"/>
                <w:b/>
                <w:noProof/>
                <w:color w:val="BF5A14"/>
                <w:sz w:val="20"/>
              </w:rPr>
              <w:drawing>
                <wp:anchor distT="0" distB="0" distL="114300" distR="114300" simplePos="0" relativeHeight="251659264" behindDoc="0" locked="0" layoutInCell="1" allowOverlap="1" wp14:anchorId="7ED65B23" wp14:editId="007344A2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21590</wp:posOffset>
                  </wp:positionV>
                  <wp:extent cx="3161665" cy="1565910"/>
                  <wp:effectExtent l="0" t="0" r="0" b="8890"/>
                  <wp:wrapNone/>
                  <wp:docPr id="4" name="Picture 4" descr="Macintosh HD:Users:ralphn:Dropbox:RESEARCH:S&amp;D-research:SAXS-WAXS_Abstract-F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ralphn:Dropbox:RESEARCH:S&amp;D-research:SAXS-WAXS_Abstract-F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1665" cy="156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94DCC" w:rsidTr="00494DCC">
        <w:trPr>
          <w:trHeight w:val="617"/>
        </w:trPr>
        <w:tc>
          <w:tcPr>
            <w:tcW w:w="5201" w:type="dxa"/>
          </w:tcPr>
          <w:p w:rsidR="00494DCC" w:rsidRPr="007B41CB" w:rsidRDefault="00494DCC" w:rsidP="00494DCC">
            <w:pPr>
              <w:spacing w:line="204" w:lineRule="exact"/>
              <w:ind w:left="180"/>
              <w:rPr>
                <w:rFonts w:ascii="Arial"/>
                <w:i/>
                <w:sz w:val="18"/>
                <w:szCs w:val="18"/>
              </w:rPr>
            </w:pPr>
            <w:r w:rsidRPr="007B41CB">
              <w:rPr>
                <w:rFonts w:ascii="Arial"/>
                <w:i/>
                <w:sz w:val="18"/>
                <w:szCs w:val="18"/>
              </w:rPr>
              <w:t>Fig. 1.  Wide-angle and small-angle scattering</w:t>
            </w:r>
            <w:r w:rsidR="007B41CB" w:rsidRPr="007B41CB">
              <w:rPr>
                <w:rFonts w:ascii="Arial"/>
                <w:i/>
                <w:sz w:val="18"/>
                <w:szCs w:val="18"/>
              </w:rPr>
              <w:t xml:space="preserve"> results, obtained during continuous heating, </w:t>
            </w:r>
            <w:r w:rsidRPr="007B41CB">
              <w:rPr>
                <w:rFonts w:ascii="Arial"/>
                <w:i/>
                <w:sz w:val="18"/>
                <w:szCs w:val="18"/>
              </w:rPr>
              <w:t xml:space="preserve">revealing a complex </w:t>
            </w:r>
            <w:proofErr w:type="spellStart"/>
            <w:r w:rsidRPr="007B41CB">
              <w:rPr>
                <w:rFonts w:ascii="Arial"/>
                <w:i/>
                <w:sz w:val="18"/>
                <w:szCs w:val="18"/>
              </w:rPr>
              <w:t>devitrification</w:t>
            </w:r>
            <w:proofErr w:type="spellEnd"/>
            <w:r w:rsidRPr="007B41CB">
              <w:rPr>
                <w:rFonts w:ascii="Arial"/>
                <w:i/>
                <w:sz w:val="18"/>
                <w:szCs w:val="18"/>
              </w:rPr>
              <w:t xml:space="preserve"> sequence involving </w:t>
            </w:r>
            <w:proofErr w:type="gramStart"/>
            <w:r w:rsidRPr="007B41CB">
              <w:rPr>
                <w:rFonts w:ascii="Arial"/>
                <w:i/>
                <w:sz w:val="18"/>
                <w:szCs w:val="18"/>
              </w:rPr>
              <w:t>Al(</w:t>
            </w:r>
            <w:proofErr w:type="spellStart"/>
            <w:proofErr w:type="gramEnd"/>
            <w:r w:rsidRPr="007B41CB">
              <w:rPr>
                <w:rFonts w:ascii="Arial"/>
                <w:i/>
                <w:sz w:val="18"/>
                <w:szCs w:val="18"/>
              </w:rPr>
              <w:t>fcc</w:t>
            </w:r>
            <w:proofErr w:type="spellEnd"/>
            <w:r w:rsidRPr="007B41CB">
              <w:rPr>
                <w:rFonts w:ascii="Arial"/>
                <w:i/>
                <w:sz w:val="18"/>
                <w:szCs w:val="18"/>
              </w:rPr>
              <w:t>), Al</w:t>
            </w:r>
            <w:r w:rsidR="007B41CB" w:rsidRPr="007B41CB">
              <w:rPr>
                <w:rFonts w:ascii="Arial"/>
                <w:i/>
                <w:sz w:val="18"/>
                <w:szCs w:val="18"/>
                <w:vertAlign w:val="subscript"/>
              </w:rPr>
              <w:t>1</w:t>
            </w:r>
            <w:r w:rsidRPr="007B41CB">
              <w:rPr>
                <w:rFonts w:ascii="Arial"/>
                <w:i/>
                <w:sz w:val="18"/>
                <w:szCs w:val="18"/>
                <w:vertAlign w:val="subscript"/>
              </w:rPr>
              <w:t>20</w:t>
            </w:r>
            <w:r w:rsidRPr="007B41CB">
              <w:rPr>
                <w:rFonts w:ascii="Arial"/>
                <w:i/>
                <w:sz w:val="18"/>
                <w:szCs w:val="18"/>
              </w:rPr>
              <w:t>Sm</w:t>
            </w:r>
            <w:r w:rsidRPr="007B41CB">
              <w:rPr>
                <w:rFonts w:ascii="Arial"/>
                <w:i/>
                <w:sz w:val="18"/>
                <w:szCs w:val="18"/>
                <w:vertAlign w:val="subscript"/>
              </w:rPr>
              <w:t>22</w:t>
            </w:r>
            <w:r w:rsidRPr="007B41CB">
              <w:rPr>
                <w:rFonts w:ascii="Arial"/>
                <w:i/>
                <w:sz w:val="18"/>
                <w:szCs w:val="18"/>
              </w:rPr>
              <w:t>(cub), Al</w:t>
            </w:r>
            <w:r w:rsidRPr="007B41CB">
              <w:rPr>
                <w:rFonts w:ascii="Arial"/>
                <w:i/>
                <w:sz w:val="18"/>
                <w:szCs w:val="18"/>
                <w:vertAlign w:val="subscript"/>
              </w:rPr>
              <w:t>4</w:t>
            </w:r>
            <w:r w:rsidRPr="007B41CB">
              <w:rPr>
                <w:rFonts w:ascii="Arial"/>
                <w:i/>
                <w:sz w:val="18"/>
                <w:szCs w:val="18"/>
              </w:rPr>
              <w:t>Sm(</w:t>
            </w:r>
            <w:proofErr w:type="spellStart"/>
            <w:r w:rsidRPr="007B41CB">
              <w:rPr>
                <w:rFonts w:ascii="Arial"/>
                <w:i/>
                <w:sz w:val="18"/>
                <w:szCs w:val="18"/>
              </w:rPr>
              <w:t>tet</w:t>
            </w:r>
            <w:proofErr w:type="spellEnd"/>
            <w:r w:rsidRPr="007B41CB">
              <w:rPr>
                <w:rFonts w:ascii="Arial"/>
                <w:i/>
                <w:sz w:val="18"/>
                <w:szCs w:val="18"/>
              </w:rPr>
              <w:t>), Al</w:t>
            </w:r>
            <w:r w:rsidRPr="007B41CB">
              <w:rPr>
                <w:rFonts w:ascii="Arial"/>
                <w:i/>
                <w:sz w:val="18"/>
                <w:szCs w:val="18"/>
                <w:vertAlign w:val="subscript"/>
              </w:rPr>
              <w:t>4</w:t>
            </w:r>
            <w:r w:rsidRPr="007B41CB">
              <w:rPr>
                <w:rFonts w:ascii="Arial"/>
                <w:i/>
                <w:sz w:val="18"/>
                <w:szCs w:val="18"/>
              </w:rPr>
              <w:t>Sm(</w:t>
            </w:r>
            <w:proofErr w:type="spellStart"/>
            <w:r w:rsidRPr="007B41CB">
              <w:rPr>
                <w:rFonts w:ascii="Arial"/>
                <w:i/>
                <w:sz w:val="18"/>
                <w:szCs w:val="18"/>
              </w:rPr>
              <w:t>orth</w:t>
            </w:r>
            <w:proofErr w:type="spellEnd"/>
            <w:r w:rsidRPr="007B41CB">
              <w:rPr>
                <w:rFonts w:ascii="Arial"/>
                <w:i/>
                <w:sz w:val="18"/>
                <w:szCs w:val="18"/>
              </w:rPr>
              <w:t>), Al</w:t>
            </w:r>
            <w:r w:rsidRPr="007B41CB">
              <w:rPr>
                <w:rFonts w:ascii="Arial"/>
                <w:i/>
                <w:sz w:val="18"/>
                <w:szCs w:val="18"/>
                <w:vertAlign w:val="subscript"/>
              </w:rPr>
              <w:t>3</w:t>
            </w:r>
            <w:r w:rsidRPr="007B41CB">
              <w:rPr>
                <w:rFonts w:ascii="Arial"/>
                <w:i/>
                <w:sz w:val="18"/>
                <w:szCs w:val="18"/>
              </w:rPr>
              <w:t>Sm(hex).</w:t>
            </w:r>
          </w:p>
          <w:p w:rsidR="00494DCC" w:rsidRPr="00987D1E" w:rsidRDefault="00494DCC" w:rsidP="00494DCC">
            <w:pPr>
              <w:spacing w:line="204" w:lineRule="exact"/>
              <w:ind w:left="180"/>
              <w:rPr>
                <w:rFonts w:ascii="Arial"/>
                <w:sz w:val="18"/>
                <w:szCs w:val="18"/>
              </w:rPr>
            </w:pPr>
          </w:p>
        </w:tc>
      </w:tr>
    </w:tbl>
    <w:p w:rsidR="00987D1E" w:rsidRPr="00494DCC" w:rsidRDefault="00987D1E" w:rsidP="00987D1E">
      <w:pPr>
        <w:widowControl/>
        <w:numPr>
          <w:ilvl w:val="0"/>
          <w:numId w:val="4"/>
        </w:numPr>
        <w:rPr>
          <w:rFonts w:eastAsia="Cambria"/>
          <w:sz w:val="20"/>
          <w:szCs w:val="20"/>
        </w:rPr>
      </w:pPr>
      <w:r w:rsidRPr="00494DCC">
        <w:rPr>
          <w:rFonts w:eastAsia="Cambria"/>
          <w:sz w:val="20"/>
          <w:szCs w:val="20"/>
        </w:rPr>
        <w:t xml:space="preserve">T. Wang, F. Zhang, L. Yang, X.W. Fang, S.H. Zhou, M.J. Kramer, C.Z. Wang, K.M. Ho, R. E. Napolitano; A computational study of diffusion in a glass-forming metallic liquid, </w:t>
      </w:r>
      <w:r w:rsidRPr="00494DCC">
        <w:rPr>
          <w:rFonts w:eastAsia="Cambria"/>
          <w:i/>
          <w:sz w:val="20"/>
          <w:szCs w:val="20"/>
        </w:rPr>
        <w:t>Scientific Reports</w:t>
      </w:r>
      <w:r w:rsidRPr="00494DCC">
        <w:rPr>
          <w:rFonts w:eastAsia="Cambria"/>
          <w:sz w:val="20"/>
          <w:szCs w:val="20"/>
        </w:rPr>
        <w:t>, 5:10956 (2015) 1-9. DOI</w:t>
      </w:r>
      <w:proofErr w:type="gramStart"/>
      <w:r w:rsidRPr="00494DCC">
        <w:rPr>
          <w:rFonts w:eastAsia="Cambria"/>
          <w:sz w:val="20"/>
          <w:szCs w:val="20"/>
        </w:rPr>
        <w:t>:10.1038</w:t>
      </w:r>
      <w:proofErr w:type="gramEnd"/>
      <w:r w:rsidRPr="00494DCC">
        <w:rPr>
          <w:rFonts w:eastAsia="Cambria"/>
          <w:sz w:val="20"/>
          <w:szCs w:val="20"/>
        </w:rPr>
        <w:t>/srep10956.</w:t>
      </w:r>
    </w:p>
    <w:p w:rsidR="00987D1E" w:rsidRPr="00494DCC" w:rsidRDefault="00987D1E" w:rsidP="00987D1E">
      <w:pPr>
        <w:widowControl/>
        <w:numPr>
          <w:ilvl w:val="0"/>
          <w:numId w:val="4"/>
        </w:numPr>
        <w:rPr>
          <w:rFonts w:eastAsia="Cambria"/>
          <w:color w:val="000000" w:themeColor="text1"/>
          <w:sz w:val="20"/>
          <w:szCs w:val="20"/>
        </w:rPr>
      </w:pPr>
      <w:r w:rsidRPr="00494DCC">
        <w:rPr>
          <w:rFonts w:eastAsia="Cambria"/>
          <w:color w:val="000000" w:themeColor="text1"/>
          <w:sz w:val="20"/>
          <w:szCs w:val="20"/>
        </w:rPr>
        <w:t xml:space="preserve">Tim </w:t>
      </w:r>
      <w:proofErr w:type="spellStart"/>
      <w:r w:rsidRPr="00494DCC">
        <w:rPr>
          <w:rFonts w:eastAsia="Cambria"/>
          <w:color w:val="000000" w:themeColor="text1"/>
          <w:sz w:val="20"/>
          <w:szCs w:val="20"/>
        </w:rPr>
        <w:t>Cullinan</w:t>
      </w:r>
      <w:proofErr w:type="spellEnd"/>
      <w:r w:rsidRPr="00494DCC">
        <w:rPr>
          <w:rFonts w:eastAsia="Cambria"/>
          <w:color w:val="000000" w:themeColor="text1"/>
          <w:sz w:val="20"/>
          <w:szCs w:val="20"/>
        </w:rPr>
        <w:t xml:space="preserve">, </w:t>
      </w:r>
      <w:proofErr w:type="spellStart"/>
      <w:r w:rsidRPr="00494DCC">
        <w:rPr>
          <w:rFonts w:eastAsia="Cambria"/>
          <w:color w:val="000000" w:themeColor="text1"/>
          <w:sz w:val="20"/>
          <w:szCs w:val="20"/>
        </w:rPr>
        <w:t>Ilkay</w:t>
      </w:r>
      <w:proofErr w:type="spellEnd"/>
      <w:r w:rsidRPr="00494DCC">
        <w:rPr>
          <w:rFonts w:eastAsia="Cambria"/>
          <w:color w:val="000000" w:themeColor="text1"/>
          <w:sz w:val="20"/>
          <w:szCs w:val="20"/>
        </w:rPr>
        <w:t xml:space="preserve"> </w:t>
      </w:r>
      <w:proofErr w:type="spellStart"/>
      <w:r w:rsidRPr="00494DCC">
        <w:rPr>
          <w:rFonts w:eastAsia="Cambria"/>
          <w:color w:val="000000" w:themeColor="text1"/>
          <w:sz w:val="20"/>
          <w:szCs w:val="20"/>
        </w:rPr>
        <w:t>Kalay</w:t>
      </w:r>
      <w:proofErr w:type="spellEnd"/>
      <w:r w:rsidRPr="00494DCC">
        <w:rPr>
          <w:rFonts w:eastAsia="Cambria"/>
          <w:color w:val="000000" w:themeColor="text1"/>
          <w:sz w:val="20"/>
          <w:szCs w:val="20"/>
        </w:rPr>
        <w:t xml:space="preserve">, Y. </w:t>
      </w:r>
      <w:proofErr w:type="spellStart"/>
      <w:r w:rsidRPr="00494DCC">
        <w:rPr>
          <w:rFonts w:eastAsia="Cambria"/>
          <w:color w:val="000000" w:themeColor="text1"/>
          <w:sz w:val="20"/>
          <w:szCs w:val="20"/>
        </w:rPr>
        <w:t>Eren</w:t>
      </w:r>
      <w:proofErr w:type="spellEnd"/>
      <w:r w:rsidRPr="00494DCC">
        <w:rPr>
          <w:rFonts w:eastAsia="Cambria"/>
          <w:color w:val="000000" w:themeColor="text1"/>
          <w:sz w:val="20"/>
          <w:szCs w:val="20"/>
        </w:rPr>
        <w:t xml:space="preserve"> </w:t>
      </w:r>
      <w:proofErr w:type="spellStart"/>
      <w:r w:rsidRPr="00494DCC">
        <w:rPr>
          <w:rFonts w:eastAsia="Cambria"/>
          <w:color w:val="000000" w:themeColor="text1"/>
          <w:sz w:val="20"/>
          <w:szCs w:val="20"/>
        </w:rPr>
        <w:t>Kalay</w:t>
      </w:r>
      <w:proofErr w:type="spellEnd"/>
      <w:r w:rsidRPr="00494DCC">
        <w:rPr>
          <w:rFonts w:eastAsia="Cambria"/>
          <w:color w:val="000000" w:themeColor="text1"/>
          <w:sz w:val="20"/>
          <w:szCs w:val="20"/>
        </w:rPr>
        <w:t xml:space="preserve">, Matt Kramer, Ralph Napolitano; Kinetics and mechanisms of isothermal </w:t>
      </w:r>
      <w:proofErr w:type="spellStart"/>
      <w:r w:rsidRPr="00494DCC">
        <w:rPr>
          <w:rFonts w:eastAsia="Cambria"/>
          <w:color w:val="000000" w:themeColor="text1"/>
          <w:sz w:val="20"/>
          <w:szCs w:val="20"/>
        </w:rPr>
        <w:t>devitrification</w:t>
      </w:r>
      <w:proofErr w:type="spellEnd"/>
      <w:r w:rsidRPr="00494DCC">
        <w:rPr>
          <w:rFonts w:eastAsia="Cambria"/>
          <w:color w:val="000000" w:themeColor="text1"/>
          <w:sz w:val="20"/>
          <w:szCs w:val="20"/>
        </w:rPr>
        <w:t xml:space="preserve"> in Amorphous Cu</w:t>
      </w:r>
      <w:r w:rsidRPr="00494DCC">
        <w:rPr>
          <w:rFonts w:eastAsia="Cambria"/>
          <w:color w:val="000000" w:themeColor="text1"/>
          <w:sz w:val="20"/>
          <w:szCs w:val="20"/>
          <w:vertAlign w:val="subscript"/>
        </w:rPr>
        <w:t>50</w:t>
      </w:r>
      <w:r w:rsidRPr="00494DCC">
        <w:rPr>
          <w:rFonts w:eastAsia="Cambria"/>
          <w:color w:val="000000" w:themeColor="text1"/>
          <w:sz w:val="20"/>
          <w:szCs w:val="20"/>
        </w:rPr>
        <w:t>Zr</w:t>
      </w:r>
      <w:r w:rsidRPr="00494DCC">
        <w:rPr>
          <w:rFonts w:eastAsia="Cambria"/>
          <w:color w:val="000000" w:themeColor="text1"/>
          <w:sz w:val="20"/>
          <w:szCs w:val="20"/>
          <w:vertAlign w:val="subscript"/>
        </w:rPr>
        <w:t>50</w:t>
      </w:r>
      <w:r w:rsidRPr="00494DCC">
        <w:rPr>
          <w:rFonts w:eastAsia="Cambria"/>
          <w:color w:val="000000" w:themeColor="text1"/>
          <w:sz w:val="20"/>
          <w:szCs w:val="20"/>
        </w:rPr>
        <w:t xml:space="preserve">, </w:t>
      </w:r>
      <w:r w:rsidRPr="00494DCC">
        <w:rPr>
          <w:rFonts w:eastAsia="Cambria"/>
          <w:i/>
          <w:color w:val="000000" w:themeColor="text1"/>
          <w:sz w:val="20"/>
          <w:szCs w:val="20"/>
        </w:rPr>
        <w:t>Metallurgical and Materials Transactions</w:t>
      </w:r>
      <w:r w:rsidRPr="00494DCC">
        <w:rPr>
          <w:rFonts w:eastAsia="Cambria"/>
          <w:color w:val="000000" w:themeColor="text1"/>
          <w:sz w:val="20"/>
          <w:szCs w:val="20"/>
        </w:rPr>
        <w:t>, 46A (2015) 600-613. DOI: 10.1007/s11661-014-2661-y.</w:t>
      </w:r>
    </w:p>
    <w:p w:rsidR="00987D1E" w:rsidRPr="00494DCC" w:rsidRDefault="00987D1E" w:rsidP="00987D1E">
      <w:pPr>
        <w:widowControl/>
        <w:numPr>
          <w:ilvl w:val="0"/>
          <w:numId w:val="4"/>
        </w:numPr>
        <w:rPr>
          <w:rFonts w:eastAsia="Cambria"/>
          <w:sz w:val="20"/>
          <w:szCs w:val="20"/>
        </w:rPr>
      </w:pPr>
      <w:r w:rsidRPr="00494DCC">
        <w:rPr>
          <w:rFonts w:eastAsia="Cambria"/>
          <w:sz w:val="20"/>
          <w:szCs w:val="20"/>
        </w:rPr>
        <w:t xml:space="preserve">F. Zhang, M. </w:t>
      </w:r>
      <w:proofErr w:type="spellStart"/>
      <w:r w:rsidRPr="00494DCC">
        <w:rPr>
          <w:rFonts w:eastAsia="Cambria"/>
          <w:sz w:val="20"/>
          <w:szCs w:val="20"/>
        </w:rPr>
        <w:t>Ji</w:t>
      </w:r>
      <w:proofErr w:type="spellEnd"/>
      <w:r w:rsidRPr="00494DCC">
        <w:rPr>
          <w:rFonts w:eastAsia="Cambria"/>
          <w:sz w:val="20"/>
          <w:szCs w:val="20"/>
        </w:rPr>
        <w:t xml:space="preserve">, X. Fang, C.Z. Wang, M.K. Kramer, R.E. Napolitano, K.M. Ho; Composition dependent stability of the medium-range order responsible for metallic glass formation, </w:t>
      </w:r>
      <w:proofErr w:type="spellStart"/>
      <w:r w:rsidRPr="00494DCC">
        <w:rPr>
          <w:rFonts w:eastAsia="Cambria"/>
          <w:i/>
          <w:sz w:val="20"/>
          <w:szCs w:val="20"/>
        </w:rPr>
        <w:t>Acta</w:t>
      </w:r>
      <w:proofErr w:type="spellEnd"/>
      <w:r w:rsidRPr="00494DCC">
        <w:rPr>
          <w:rFonts w:eastAsia="Cambria"/>
          <w:i/>
          <w:sz w:val="20"/>
          <w:szCs w:val="20"/>
        </w:rPr>
        <w:t xml:space="preserve"> </w:t>
      </w:r>
      <w:proofErr w:type="spellStart"/>
      <w:r w:rsidRPr="00494DCC">
        <w:rPr>
          <w:rFonts w:eastAsia="Cambria"/>
          <w:i/>
          <w:sz w:val="20"/>
          <w:szCs w:val="20"/>
        </w:rPr>
        <w:t>Materialia</w:t>
      </w:r>
      <w:proofErr w:type="spellEnd"/>
      <w:r w:rsidRPr="00494DCC">
        <w:rPr>
          <w:rFonts w:eastAsia="Cambria"/>
          <w:sz w:val="20"/>
          <w:szCs w:val="20"/>
        </w:rPr>
        <w:t xml:space="preserve"> 81 (201</w:t>
      </w:r>
      <w:bookmarkStart w:id="0" w:name="_GoBack"/>
      <w:bookmarkEnd w:id="0"/>
      <w:r w:rsidRPr="00494DCC">
        <w:rPr>
          <w:rFonts w:eastAsia="Cambria"/>
          <w:sz w:val="20"/>
          <w:szCs w:val="20"/>
        </w:rPr>
        <w:t>4) 337-344.</w:t>
      </w:r>
    </w:p>
    <w:p w:rsidR="00987D1E" w:rsidRPr="00494DCC" w:rsidRDefault="00987D1E" w:rsidP="00987D1E">
      <w:pPr>
        <w:widowControl/>
        <w:numPr>
          <w:ilvl w:val="0"/>
          <w:numId w:val="4"/>
        </w:numPr>
        <w:rPr>
          <w:rFonts w:eastAsia="Cambria"/>
          <w:sz w:val="20"/>
          <w:szCs w:val="20"/>
        </w:rPr>
      </w:pPr>
      <w:r w:rsidRPr="00494DCC">
        <w:rPr>
          <w:rFonts w:eastAsia="Cambria"/>
          <w:sz w:val="20"/>
          <w:szCs w:val="20"/>
        </w:rPr>
        <w:t xml:space="preserve">S. Zhou, Y. </w:t>
      </w:r>
      <w:proofErr w:type="spellStart"/>
      <w:r w:rsidRPr="00494DCC">
        <w:rPr>
          <w:rFonts w:eastAsia="Cambria"/>
          <w:sz w:val="20"/>
          <w:szCs w:val="20"/>
        </w:rPr>
        <w:t>Huo</w:t>
      </w:r>
      <w:proofErr w:type="spellEnd"/>
      <w:r w:rsidRPr="00494DCC">
        <w:rPr>
          <w:rFonts w:eastAsia="Cambria"/>
          <w:sz w:val="20"/>
          <w:szCs w:val="20"/>
        </w:rPr>
        <w:t xml:space="preserve">, L.-Q. Chen, R.E. Napolitano; Solution-based thermodynamic modeling of the Ni-Al-Mo system using first principles calculations, </w:t>
      </w:r>
      <w:r w:rsidRPr="00494DCC">
        <w:rPr>
          <w:rFonts w:eastAsia="Cambria"/>
          <w:i/>
          <w:sz w:val="20"/>
          <w:szCs w:val="20"/>
        </w:rPr>
        <w:t>CALPHAD</w:t>
      </w:r>
      <w:r w:rsidRPr="00494DCC">
        <w:rPr>
          <w:rFonts w:eastAsia="Cambria"/>
          <w:sz w:val="20"/>
          <w:szCs w:val="20"/>
        </w:rPr>
        <w:t xml:space="preserve"> 46 (2014) 124-133.</w:t>
      </w:r>
    </w:p>
    <w:p w:rsidR="00987D1E" w:rsidRPr="00494DCC" w:rsidRDefault="00987D1E" w:rsidP="00987D1E">
      <w:pPr>
        <w:widowControl/>
        <w:numPr>
          <w:ilvl w:val="0"/>
          <w:numId w:val="4"/>
        </w:numPr>
        <w:rPr>
          <w:rFonts w:eastAsia="Cambria"/>
          <w:sz w:val="20"/>
          <w:szCs w:val="20"/>
        </w:rPr>
      </w:pPr>
      <w:r w:rsidRPr="00494DCC">
        <w:rPr>
          <w:rFonts w:cs="Calibri"/>
          <w:bCs/>
          <w:sz w:val="20"/>
          <w:szCs w:val="20"/>
        </w:rPr>
        <w:t xml:space="preserve">Tao Wang, T.E. </w:t>
      </w:r>
      <w:proofErr w:type="spellStart"/>
      <w:r w:rsidRPr="00494DCC">
        <w:rPr>
          <w:rFonts w:cs="Calibri"/>
          <w:bCs/>
          <w:sz w:val="20"/>
          <w:szCs w:val="20"/>
        </w:rPr>
        <w:t>Cullinan</w:t>
      </w:r>
      <w:proofErr w:type="spellEnd"/>
      <w:r w:rsidRPr="00494DCC">
        <w:rPr>
          <w:rFonts w:cs="Calibri"/>
          <w:bCs/>
          <w:sz w:val="20"/>
          <w:szCs w:val="20"/>
        </w:rPr>
        <w:t>, R.E. Napolitano, A new method for measuring the thermodynamic properties of undercooled liquid and amorphous Cu-</w:t>
      </w:r>
      <w:proofErr w:type="spellStart"/>
      <w:r w:rsidRPr="00494DCC">
        <w:rPr>
          <w:rFonts w:cs="Calibri"/>
          <w:bCs/>
          <w:sz w:val="20"/>
          <w:szCs w:val="20"/>
        </w:rPr>
        <w:t>Zr</w:t>
      </w:r>
      <w:proofErr w:type="spellEnd"/>
      <w:r w:rsidRPr="00494DCC">
        <w:rPr>
          <w:rFonts w:cs="Calibri"/>
          <w:bCs/>
          <w:sz w:val="20"/>
          <w:szCs w:val="20"/>
        </w:rPr>
        <w:t xml:space="preserve"> alloys, </w:t>
      </w:r>
      <w:proofErr w:type="spellStart"/>
      <w:r w:rsidRPr="00494DCC">
        <w:rPr>
          <w:rFonts w:cs="Calibri"/>
          <w:bCs/>
          <w:i/>
          <w:sz w:val="20"/>
          <w:szCs w:val="20"/>
        </w:rPr>
        <w:t>Acta</w:t>
      </w:r>
      <w:proofErr w:type="spellEnd"/>
      <w:r w:rsidRPr="00494DCC">
        <w:rPr>
          <w:rFonts w:cs="Calibri"/>
          <w:bCs/>
          <w:i/>
          <w:sz w:val="20"/>
          <w:szCs w:val="20"/>
        </w:rPr>
        <w:t xml:space="preserve"> </w:t>
      </w:r>
      <w:proofErr w:type="spellStart"/>
      <w:r w:rsidRPr="00494DCC">
        <w:rPr>
          <w:rFonts w:cs="Calibri"/>
          <w:bCs/>
          <w:i/>
          <w:sz w:val="20"/>
          <w:szCs w:val="20"/>
        </w:rPr>
        <w:t>Materialia</w:t>
      </w:r>
      <w:proofErr w:type="spellEnd"/>
      <w:r w:rsidRPr="00494DCC">
        <w:rPr>
          <w:rFonts w:cs="Calibri"/>
          <w:bCs/>
          <w:sz w:val="20"/>
          <w:szCs w:val="20"/>
        </w:rPr>
        <w:t xml:space="preserve"> 62 (2014) 188-196. DOI: 10.1016/j.actamat.2013.09.047.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</w:t>
      </w:r>
      <w:r w:rsidR="00494DCC">
        <w:rPr>
          <w:rFonts w:ascii="Arial"/>
          <w:noProof/>
          <w:color w:val="BF5A14"/>
        </w:rPr>
        <w:drawing>
          <wp:inline distT="0" distB="0" distL="0" distR="0" wp14:anchorId="059B5B72" wp14:editId="340FD21F">
            <wp:extent cx="796047" cy="796047"/>
            <wp:effectExtent l="0" t="0" r="0" b="0"/>
            <wp:docPr id="6" name="Picture 6" descr="Macintosh HD:Users:ralphn:Documents:ADMIN:ADMIN2:ADMIN-ITEMS_fromDB:Self-Photos:Self-in-office_adjusted-SQUARE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ralphn:Documents:ADMIN:ADMIN2:ADMIN-ITEMS_fromDB:Self-Photos:Self-in-office_adjusted-SQUARE copy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047" cy="796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494DC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R. E. Napolitano is Professor of Materials Science and Engineering at Iowa State University</w:t>
      </w:r>
      <w:r w:rsidR="007B41CB">
        <w:rPr>
          <w:rFonts w:ascii="Arial"/>
          <w:sz w:val="14"/>
        </w:rPr>
        <w:t xml:space="preserve">, where he serves as Associate Chair for Graduate Education and Research. He </w:t>
      </w:r>
      <w:r>
        <w:rPr>
          <w:rFonts w:ascii="Arial"/>
          <w:sz w:val="14"/>
        </w:rPr>
        <w:t>is an expert in solidification s</w:t>
      </w:r>
      <w:r w:rsidR="007B41CB">
        <w:rPr>
          <w:rFonts w:ascii="Arial"/>
          <w:sz w:val="14"/>
        </w:rPr>
        <w:t xml:space="preserve">cience and physical metallurgy, and he </w:t>
      </w:r>
      <w:r>
        <w:rPr>
          <w:rFonts w:ascii="Arial"/>
          <w:sz w:val="14"/>
        </w:rPr>
        <w:t xml:space="preserve">heads the Structures and Dynamics in Condensed Systems team within the Division of Materials Sciences and Engineering at the Ames Laboratory.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7B41CB" w:rsidRPr="009E036C">
          <w:rPr>
            <w:rStyle w:val="Hyperlink"/>
            <w:rFonts w:ascii="Arial"/>
            <w:sz w:val="14"/>
          </w:rPr>
          <w:t>ren1@iastate.edu</w:t>
        </w:r>
      </w:hyperlink>
    </w:p>
    <w:p w:rsidR="00AE3E37" w:rsidRPr="007B41CB" w:rsidRDefault="00292ED9" w:rsidP="007B41CB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4D48CF1" wp14:editId="192FE7D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DCC" w:rsidRDefault="00494DCC">
      <w:r>
        <w:separator/>
      </w:r>
    </w:p>
  </w:endnote>
  <w:endnote w:type="continuationSeparator" w:id="0">
    <w:p w:rsidR="00494DCC" w:rsidRDefault="00494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font000000001d4682ea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DCC" w:rsidRDefault="00494DC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4DCC" w:rsidRPr="005B3A56" w:rsidRDefault="00494DC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494DCC" w:rsidRPr="005B3A56" w:rsidRDefault="00494DC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:rsidR="00494DCC" w:rsidRPr="005B3A56" w:rsidRDefault="00494DC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494DCC" w:rsidRPr="005B3A56" w:rsidRDefault="00494DC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4DCC" w:rsidRPr="005B3A56" w:rsidRDefault="00494DC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494DCC" w:rsidRPr="005B3A56" w:rsidRDefault="00494DC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:rsidR="00494DCC" w:rsidRPr="005B3A56" w:rsidRDefault="00494DC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494DCC" w:rsidRPr="005B3A56" w:rsidRDefault="00494DC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4DCC" w:rsidRPr="005B3A56" w:rsidRDefault="00494DC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494DCC" w:rsidRPr="005B3A56" w:rsidRDefault="00494DC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:rsidR="00494DCC" w:rsidRPr="005B3A56" w:rsidRDefault="00494DC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494DCC" w:rsidRPr="005B3A56" w:rsidRDefault="00494DC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DCC" w:rsidRDefault="00494DCC">
      <w:r>
        <w:separator/>
      </w:r>
    </w:p>
  </w:footnote>
  <w:footnote w:type="continuationSeparator" w:id="0">
    <w:p w:rsidR="00494DCC" w:rsidRDefault="00494DC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DCC" w:rsidRDefault="00494DC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4DCC" w:rsidRPr="005B3A56" w:rsidRDefault="00494DC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:rsidR="00494DCC" w:rsidRPr="005B3A56" w:rsidRDefault="00494DC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4DCC" w:rsidRPr="005B3A56" w:rsidRDefault="00494DC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494DCC" w:rsidRPr="005B3A56" w:rsidRDefault="00494DC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494DCC" w:rsidRPr="005B3A56" w:rsidRDefault="00494DC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494DCC" w:rsidRPr="005B3A56" w:rsidRDefault="00494DC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50FCD"/>
    <w:multiLevelType w:val="hybridMultilevel"/>
    <w:tmpl w:val="B660FD6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404E5B"/>
    <w:rsid w:val="00414F7B"/>
    <w:rsid w:val="004355DC"/>
    <w:rsid w:val="004749B4"/>
    <w:rsid w:val="00494130"/>
    <w:rsid w:val="00494DCC"/>
    <w:rsid w:val="004F3523"/>
    <w:rsid w:val="005973B9"/>
    <w:rsid w:val="005B3A56"/>
    <w:rsid w:val="006060CE"/>
    <w:rsid w:val="0063497F"/>
    <w:rsid w:val="007B41CB"/>
    <w:rsid w:val="00873DF0"/>
    <w:rsid w:val="008756E6"/>
    <w:rsid w:val="00987D1E"/>
    <w:rsid w:val="009B2D44"/>
    <w:rsid w:val="00A07E82"/>
    <w:rsid w:val="00A9710C"/>
    <w:rsid w:val="00A9730E"/>
    <w:rsid w:val="00AE3E37"/>
    <w:rsid w:val="00B21A57"/>
    <w:rsid w:val="00C33602"/>
    <w:rsid w:val="00CD6F55"/>
    <w:rsid w:val="00D00E92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rsid w:val="00D00E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59"/>
    <w:rsid w:val="00D00E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hyperlink" Target="mailto:ren1@iastate.edu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606</Words>
  <Characters>3459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Ralph Napolitano</cp:lastModifiedBy>
  <cp:revision>2</cp:revision>
  <dcterms:created xsi:type="dcterms:W3CDTF">2017-04-21T22:24:00Z</dcterms:created>
  <dcterms:modified xsi:type="dcterms:W3CDTF">2017-04-21T22:24:00Z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