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104" w:rsidRDefault="00534104" w:rsidP="005868A7">
      <w:pPr>
        <w:spacing w:line="360" w:lineRule="auto"/>
        <w:jc w:val="center"/>
        <w:rPr>
          <w:b/>
          <w:sz w:val="28"/>
          <w:szCs w:val="28"/>
        </w:rPr>
      </w:pPr>
      <w:r>
        <w:rPr>
          <w:b/>
          <w:sz w:val="28"/>
          <w:szCs w:val="28"/>
        </w:rPr>
        <w:t>Geometries</w:t>
      </w:r>
      <w:r w:rsidRPr="00F10058">
        <w:rPr>
          <w:b/>
          <w:sz w:val="28"/>
          <w:szCs w:val="28"/>
        </w:rPr>
        <w:t>, electronic properties</w:t>
      </w:r>
      <w:r>
        <w:rPr>
          <w:b/>
          <w:sz w:val="28"/>
          <w:szCs w:val="28"/>
        </w:rPr>
        <w:t xml:space="preserve"> and stability of molybdenum and tungsten nitrides low-index surfaces</w:t>
      </w:r>
    </w:p>
    <w:p w:rsidR="00534104" w:rsidRPr="005868A7" w:rsidRDefault="00534104" w:rsidP="00534104">
      <w:pPr>
        <w:spacing w:line="360" w:lineRule="auto"/>
        <w:jc w:val="both"/>
        <w:rPr>
          <w:vertAlign w:val="superscript"/>
        </w:rPr>
      </w:pPr>
      <w:r w:rsidRPr="005868A7">
        <w:t xml:space="preserve">Zainab N. </w:t>
      </w:r>
      <w:proofErr w:type="spellStart"/>
      <w:r w:rsidRPr="005868A7">
        <w:t>Jaf</w:t>
      </w:r>
      <w:proofErr w:type="spellEnd"/>
      <w:r w:rsidRPr="005868A7">
        <w:rPr>
          <w:vertAlign w:val="superscript"/>
        </w:rPr>
        <w:t>*</w:t>
      </w:r>
      <w:r w:rsidRPr="005868A7">
        <w:t xml:space="preserve"> </w:t>
      </w:r>
      <w:r w:rsidRPr="005868A7">
        <w:rPr>
          <w:vertAlign w:val="superscript"/>
        </w:rPr>
        <w:t>1</w:t>
      </w:r>
      <w:r w:rsidR="005868A7" w:rsidRPr="005868A7">
        <w:rPr>
          <w:vertAlign w:val="superscript"/>
        </w:rPr>
        <w:t>, 2</w:t>
      </w:r>
      <w:r w:rsidRPr="005868A7">
        <w:rPr>
          <w:color w:val="C00000"/>
        </w:rPr>
        <w:t xml:space="preserve"> </w:t>
      </w:r>
      <w:proofErr w:type="spellStart"/>
      <w:r w:rsidRPr="005868A7">
        <w:t>Mohammednoor</w:t>
      </w:r>
      <w:proofErr w:type="spellEnd"/>
      <w:r w:rsidRPr="005868A7">
        <w:t xml:space="preserve"> Altarawneh</w:t>
      </w:r>
      <w:r w:rsidRPr="005868A7">
        <w:rPr>
          <w:vertAlign w:val="superscript"/>
        </w:rPr>
        <w:t xml:space="preserve">1 </w:t>
      </w:r>
      <w:r w:rsidR="005868A7" w:rsidRPr="005868A7">
        <w:rPr>
          <w:vertAlign w:val="superscript"/>
        </w:rPr>
        <w:t xml:space="preserve"> </w:t>
      </w:r>
      <w:r w:rsidRPr="005868A7">
        <w:rPr>
          <w:vertAlign w:val="superscript"/>
        </w:rPr>
        <w:t xml:space="preserve"> </w:t>
      </w:r>
      <w:r w:rsidRPr="005868A7">
        <w:t>Hussein A. Miran</w:t>
      </w:r>
      <w:r w:rsidRPr="005868A7">
        <w:rPr>
          <w:vertAlign w:val="superscript"/>
        </w:rPr>
        <w:t>1</w:t>
      </w:r>
      <w:r w:rsidR="005868A7" w:rsidRPr="005868A7">
        <w:rPr>
          <w:vertAlign w:val="superscript"/>
        </w:rPr>
        <w:t xml:space="preserve">, </w:t>
      </w:r>
      <w:proofErr w:type="gramStart"/>
      <w:r w:rsidR="005868A7" w:rsidRPr="005868A7">
        <w:rPr>
          <w:vertAlign w:val="superscript"/>
        </w:rPr>
        <w:t>2</w:t>
      </w:r>
      <w:r w:rsidRPr="005868A7">
        <w:rPr>
          <w:vertAlign w:val="superscript"/>
        </w:rPr>
        <w:t xml:space="preserve"> </w:t>
      </w:r>
      <w:r w:rsidRPr="005868A7">
        <w:t>,</w:t>
      </w:r>
      <w:proofErr w:type="gramEnd"/>
      <w:r w:rsidRPr="005868A7">
        <w:t xml:space="preserve"> </w:t>
      </w:r>
      <w:r w:rsidR="004A20D0" w:rsidRPr="004A20D0">
        <w:rPr>
          <w:bCs/>
          <w:lang w:val="en-US"/>
        </w:rPr>
        <w:t>Jean-Pierre Veder</w:t>
      </w:r>
      <w:r w:rsidR="004A20D0" w:rsidRPr="004A20D0">
        <w:rPr>
          <w:bCs/>
          <w:vertAlign w:val="superscript"/>
          <w:lang w:val="en-US"/>
        </w:rPr>
        <w:t>3</w:t>
      </w:r>
      <w:r w:rsidR="004A20D0" w:rsidRPr="004A20D0">
        <w:rPr>
          <w:b/>
          <w:bCs/>
        </w:rPr>
        <w:t xml:space="preserve"> </w:t>
      </w:r>
      <w:proofErr w:type="spellStart"/>
      <w:r w:rsidRPr="005868A7">
        <w:t>Zhong</w:t>
      </w:r>
      <w:proofErr w:type="spellEnd"/>
      <w:r w:rsidRPr="005868A7">
        <w:t>-Tao Jiang</w:t>
      </w:r>
      <w:r w:rsidRPr="005868A7">
        <w:rPr>
          <w:vertAlign w:val="superscript"/>
        </w:rPr>
        <w:t>1</w:t>
      </w:r>
    </w:p>
    <w:p w:rsidR="00534104" w:rsidRPr="005868A7" w:rsidRDefault="00534104" w:rsidP="00534104">
      <w:pPr>
        <w:spacing w:line="360" w:lineRule="auto"/>
        <w:jc w:val="both"/>
      </w:pPr>
    </w:p>
    <w:p w:rsidR="00534104" w:rsidRPr="005868A7" w:rsidRDefault="00534104" w:rsidP="00534104">
      <w:pPr>
        <w:spacing w:after="200" w:line="360" w:lineRule="auto"/>
        <w:jc w:val="center"/>
        <w:rPr>
          <w:rFonts w:eastAsia="Calibri"/>
        </w:rPr>
      </w:pPr>
      <w:r w:rsidRPr="005868A7">
        <w:rPr>
          <w:rFonts w:eastAsia="Calibri"/>
          <w:vertAlign w:val="superscript"/>
        </w:rPr>
        <w:t>1</w:t>
      </w:r>
      <w:r w:rsidRPr="005868A7">
        <w:rPr>
          <w:rFonts w:eastAsia="Calibri"/>
        </w:rPr>
        <w:t>School of Engineering and Information Technology, Murdoch University, 90 South Street, Murdoch, WA 6150, Australia</w:t>
      </w:r>
    </w:p>
    <w:p w:rsidR="00534104" w:rsidRPr="005868A7" w:rsidRDefault="00534104" w:rsidP="00534104">
      <w:pPr>
        <w:spacing w:after="200" w:line="360" w:lineRule="auto"/>
        <w:jc w:val="center"/>
        <w:rPr>
          <w:rFonts w:eastAsia="Calibri"/>
        </w:rPr>
      </w:pPr>
      <w:r w:rsidRPr="005868A7">
        <w:rPr>
          <w:rFonts w:eastAsia="Calibri"/>
          <w:vertAlign w:val="superscript"/>
        </w:rPr>
        <w:t>2</w:t>
      </w:r>
      <w:r w:rsidRPr="005868A7">
        <w:rPr>
          <w:rFonts w:eastAsia="Calibri"/>
        </w:rPr>
        <w:t>Department of Physics, College of Education for Pure Sciences - Ibn Al-</w:t>
      </w:r>
      <w:proofErr w:type="spellStart"/>
      <w:r w:rsidRPr="005868A7">
        <w:rPr>
          <w:rFonts w:eastAsia="Calibri"/>
        </w:rPr>
        <w:t>Haitham</w:t>
      </w:r>
      <w:proofErr w:type="spellEnd"/>
      <w:r w:rsidRPr="005868A7">
        <w:rPr>
          <w:rFonts w:eastAsia="Calibri"/>
        </w:rPr>
        <w:t>,</w:t>
      </w:r>
    </w:p>
    <w:p w:rsidR="00534104" w:rsidRDefault="00534104" w:rsidP="005868A7">
      <w:pPr>
        <w:spacing w:after="200" w:line="360" w:lineRule="auto"/>
        <w:jc w:val="center"/>
        <w:rPr>
          <w:rFonts w:eastAsia="Calibri"/>
        </w:rPr>
      </w:pPr>
      <w:r w:rsidRPr="005868A7">
        <w:rPr>
          <w:rFonts w:eastAsia="Calibri"/>
        </w:rPr>
        <w:t>University of Bagdad, Baghdad, Iraq</w:t>
      </w:r>
    </w:p>
    <w:p w:rsidR="004A20D0" w:rsidRPr="004A20D0" w:rsidRDefault="004A20D0" w:rsidP="004A20D0">
      <w:pPr>
        <w:pStyle w:val="NormalWeb"/>
        <w:spacing w:before="0" w:beforeAutospacing="0" w:after="0" w:afterAutospacing="0"/>
        <w:jc w:val="center"/>
        <w:rPr>
          <w:sz w:val="16"/>
        </w:rPr>
      </w:pPr>
      <w:r w:rsidRPr="004A20D0">
        <w:rPr>
          <w:rFonts w:eastAsiaTheme="minorEastAsia"/>
          <w:bCs/>
          <w:kern w:val="24"/>
          <w:position w:val="12"/>
          <w:szCs w:val="40"/>
          <w:vertAlign w:val="superscript"/>
        </w:rPr>
        <w:t>3</w:t>
      </w:r>
      <w:r w:rsidRPr="004A20D0">
        <w:rPr>
          <w:rFonts w:eastAsiaTheme="minorEastAsia"/>
          <w:bCs/>
          <w:kern w:val="24"/>
          <w:szCs w:val="40"/>
        </w:rPr>
        <w:t xml:space="preserve">John de </w:t>
      </w:r>
      <w:proofErr w:type="spellStart"/>
      <w:r w:rsidRPr="004A20D0">
        <w:rPr>
          <w:rFonts w:eastAsiaTheme="minorEastAsia"/>
          <w:bCs/>
          <w:kern w:val="24"/>
          <w:szCs w:val="40"/>
        </w:rPr>
        <w:t>Laeter</w:t>
      </w:r>
      <w:proofErr w:type="spellEnd"/>
      <w:r w:rsidRPr="004A20D0">
        <w:rPr>
          <w:rFonts w:eastAsiaTheme="minorEastAsia"/>
          <w:bCs/>
          <w:kern w:val="24"/>
          <w:szCs w:val="40"/>
        </w:rPr>
        <w:t xml:space="preserve"> Centre, Curtin University, Perth, WA 6102, Australia</w:t>
      </w:r>
    </w:p>
    <w:p w:rsidR="004A20D0" w:rsidRPr="005868A7" w:rsidRDefault="004A20D0" w:rsidP="004A20D0">
      <w:pPr>
        <w:spacing w:after="200" w:line="360" w:lineRule="auto"/>
        <w:rPr>
          <w:rFonts w:eastAsia="Calibri"/>
        </w:rPr>
      </w:pPr>
    </w:p>
    <w:p w:rsidR="00534104" w:rsidRPr="005868A7" w:rsidRDefault="00534104" w:rsidP="00534104">
      <w:pPr>
        <w:spacing w:after="200" w:line="360" w:lineRule="auto"/>
        <w:jc w:val="center"/>
        <w:rPr>
          <w:rFonts w:eastAsia="Calibri"/>
          <w:szCs w:val="28"/>
        </w:rPr>
      </w:pPr>
      <w:r w:rsidRPr="005868A7">
        <w:rPr>
          <w:rFonts w:eastAsia="Calibri"/>
          <w:szCs w:val="28"/>
        </w:rPr>
        <w:t>* Corresponding Author:</w:t>
      </w:r>
    </w:p>
    <w:p w:rsidR="00534104" w:rsidRPr="005868A7" w:rsidRDefault="00534104" w:rsidP="00534104">
      <w:pPr>
        <w:spacing w:after="200" w:line="360" w:lineRule="auto"/>
        <w:jc w:val="center"/>
        <w:rPr>
          <w:rFonts w:eastAsia="Calibri"/>
          <w:szCs w:val="28"/>
        </w:rPr>
      </w:pPr>
      <w:r w:rsidRPr="005868A7">
        <w:rPr>
          <w:rFonts w:eastAsia="Calibri"/>
          <w:szCs w:val="28"/>
        </w:rPr>
        <w:t>Phone: (+61) 0434944155</w:t>
      </w:r>
    </w:p>
    <w:p w:rsidR="00534104" w:rsidRPr="005868A7" w:rsidRDefault="00534104" w:rsidP="005868A7">
      <w:pPr>
        <w:spacing w:after="200" w:line="360" w:lineRule="auto"/>
        <w:jc w:val="center"/>
        <w:rPr>
          <w:rFonts w:eastAsia="Calibri"/>
          <w:szCs w:val="28"/>
        </w:rPr>
      </w:pPr>
      <w:r w:rsidRPr="005868A7">
        <w:rPr>
          <w:rFonts w:eastAsia="Calibri"/>
          <w:szCs w:val="28"/>
        </w:rPr>
        <w:t>Email:  Z.jaf@Murdoch.edu.au</w:t>
      </w:r>
    </w:p>
    <w:p w:rsidR="00534104" w:rsidRDefault="00534104" w:rsidP="00534104">
      <w:pPr>
        <w:spacing w:line="360" w:lineRule="auto"/>
        <w:jc w:val="both"/>
        <w:rPr>
          <w:b/>
          <w:sz w:val="28"/>
          <w:szCs w:val="28"/>
        </w:rPr>
      </w:pPr>
    </w:p>
    <w:p w:rsidR="00534104" w:rsidRPr="005868A7" w:rsidRDefault="00534104" w:rsidP="005868A7">
      <w:pPr>
        <w:spacing w:line="360" w:lineRule="auto"/>
        <w:jc w:val="both"/>
        <w:rPr>
          <w:b/>
          <w:szCs w:val="28"/>
        </w:rPr>
      </w:pPr>
      <w:r w:rsidRPr="005868A7">
        <w:rPr>
          <w:b/>
          <w:szCs w:val="28"/>
        </w:rPr>
        <w:t>Abstract</w:t>
      </w:r>
    </w:p>
    <w:p w:rsidR="00534104" w:rsidRPr="005868A7" w:rsidRDefault="00534104" w:rsidP="005868A7">
      <w:pPr>
        <w:autoSpaceDE w:val="0"/>
        <w:autoSpaceDN w:val="0"/>
        <w:adjustRightInd w:val="0"/>
        <w:spacing w:line="360" w:lineRule="auto"/>
        <w:jc w:val="both"/>
        <w:rPr>
          <w:szCs w:val="28"/>
        </w:rPr>
      </w:pPr>
      <w:r w:rsidRPr="005868A7">
        <w:rPr>
          <w:szCs w:val="28"/>
        </w:rPr>
        <w:t>Motivated by the vital role played by transition metal nitride (TMN) composites in various industrial applications, the current study reports electronic properties, and thermodynamic stability phase diagram of all plausible surfaces of hexagonal molybdenum nitride (</w:t>
      </w:r>
      <w:r w:rsidRPr="005868A7">
        <w:rPr>
          <w:i/>
          <w:szCs w:val="28"/>
        </w:rPr>
        <w:t>δ</w:t>
      </w:r>
      <w:r w:rsidRPr="005868A7">
        <w:rPr>
          <w:i/>
          <w:szCs w:val="28"/>
          <w:vertAlign w:val="subscript"/>
        </w:rPr>
        <w:t>3</w:t>
      </w:r>
      <w:r w:rsidRPr="005868A7">
        <w:rPr>
          <w:szCs w:val="28"/>
        </w:rPr>
        <w:t>-MoN) and tungsten nitride (</w:t>
      </w:r>
      <w:r w:rsidRPr="005868A7">
        <w:rPr>
          <w:i/>
          <w:szCs w:val="28"/>
        </w:rPr>
        <w:t>δ</w:t>
      </w:r>
      <w:r w:rsidRPr="005868A7">
        <w:rPr>
          <w:szCs w:val="28"/>
        </w:rPr>
        <w:t xml:space="preserve">-WN). Our estimated enthalpy of formation for both </w:t>
      </w:r>
      <w:r w:rsidRPr="005868A7">
        <w:rPr>
          <w:i/>
          <w:szCs w:val="28"/>
        </w:rPr>
        <w:t>δ</w:t>
      </w:r>
      <w:r w:rsidRPr="005868A7">
        <w:rPr>
          <w:i/>
          <w:szCs w:val="28"/>
          <w:vertAlign w:val="subscript"/>
        </w:rPr>
        <w:t>3</w:t>
      </w:r>
      <w:r w:rsidRPr="005868A7">
        <w:rPr>
          <w:szCs w:val="28"/>
        </w:rPr>
        <w:t xml:space="preserve">-MoN and </w:t>
      </w:r>
      <w:r w:rsidRPr="005868A7">
        <w:rPr>
          <w:i/>
          <w:szCs w:val="28"/>
        </w:rPr>
        <w:t>δ</w:t>
      </w:r>
      <w:r w:rsidRPr="005868A7">
        <w:rPr>
          <w:szCs w:val="28"/>
        </w:rPr>
        <w:t>-WN attain values of -1.25 eV and -0.</w:t>
      </w:r>
      <w:r w:rsidR="0020081D">
        <w:rPr>
          <w:szCs w:val="28"/>
        </w:rPr>
        <w:t>12</w:t>
      </w:r>
      <w:r w:rsidRPr="005868A7">
        <w:rPr>
          <w:szCs w:val="28"/>
        </w:rPr>
        <w:t xml:space="preserve">, respectively. Herein, we investigate four low miller indices of hexagonal </w:t>
      </w:r>
      <w:r w:rsidRPr="005868A7">
        <w:rPr>
          <w:i/>
          <w:szCs w:val="28"/>
        </w:rPr>
        <w:t>δ</w:t>
      </w:r>
      <w:r w:rsidRPr="005868A7">
        <w:rPr>
          <w:i/>
          <w:szCs w:val="28"/>
          <w:vertAlign w:val="subscript"/>
        </w:rPr>
        <w:t>3</w:t>
      </w:r>
      <w:r w:rsidRPr="005868A7">
        <w:rPr>
          <w:szCs w:val="28"/>
        </w:rPr>
        <w:t xml:space="preserve">-MoN and </w:t>
      </w:r>
      <w:r w:rsidRPr="005868A7">
        <w:rPr>
          <w:i/>
          <w:szCs w:val="28"/>
        </w:rPr>
        <w:t>δ</w:t>
      </w:r>
      <w:r w:rsidRPr="005868A7">
        <w:rPr>
          <w:szCs w:val="28"/>
        </w:rPr>
        <w:t>-WN surface terminations namely, (100), (110), (111), and (001). For</w:t>
      </w:r>
      <w:r w:rsidRPr="005868A7">
        <w:rPr>
          <w:i/>
          <w:szCs w:val="28"/>
        </w:rPr>
        <w:t xml:space="preserve"> δ</w:t>
      </w:r>
      <w:r w:rsidRPr="005868A7">
        <w:rPr>
          <w:i/>
          <w:szCs w:val="28"/>
          <w:vertAlign w:val="subscript"/>
        </w:rPr>
        <w:t>3</w:t>
      </w:r>
      <w:r w:rsidRPr="005868A7">
        <w:rPr>
          <w:szCs w:val="28"/>
        </w:rPr>
        <w:t xml:space="preserve">-MoN surfaces, we found that, the (100) and (111) configurations adopt separate Mo and N terminations signified as </w:t>
      </w:r>
      <w:r w:rsidRPr="005868A7">
        <w:rPr>
          <w:i/>
          <w:szCs w:val="28"/>
        </w:rPr>
        <w:t>δ</w:t>
      </w:r>
      <w:r w:rsidRPr="005868A7">
        <w:rPr>
          <w:i/>
          <w:szCs w:val="28"/>
          <w:vertAlign w:val="subscript"/>
        </w:rPr>
        <w:t>3</w:t>
      </w:r>
      <w:r w:rsidRPr="005868A7">
        <w:rPr>
          <w:szCs w:val="28"/>
        </w:rPr>
        <w:t>-</w:t>
      </w:r>
      <w:proofErr w:type="gramStart"/>
      <w:r w:rsidRPr="005868A7">
        <w:rPr>
          <w:szCs w:val="28"/>
        </w:rPr>
        <w:t>MoN(</w:t>
      </w:r>
      <w:proofErr w:type="gramEnd"/>
      <w:r w:rsidRPr="005868A7">
        <w:rPr>
          <w:szCs w:val="28"/>
        </w:rPr>
        <w:t xml:space="preserve">100)_Mo, </w:t>
      </w:r>
      <w:r w:rsidRPr="005868A7">
        <w:rPr>
          <w:i/>
          <w:szCs w:val="28"/>
        </w:rPr>
        <w:t>δ</w:t>
      </w:r>
      <w:r w:rsidRPr="005868A7">
        <w:rPr>
          <w:i/>
          <w:szCs w:val="28"/>
          <w:vertAlign w:val="subscript"/>
        </w:rPr>
        <w:t>3</w:t>
      </w:r>
      <w:r w:rsidRPr="005868A7">
        <w:rPr>
          <w:szCs w:val="28"/>
        </w:rPr>
        <w:t xml:space="preserve">-MoN(100)_N, </w:t>
      </w:r>
      <w:r w:rsidRPr="005868A7">
        <w:rPr>
          <w:i/>
          <w:szCs w:val="28"/>
        </w:rPr>
        <w:t>δ</w:t>
      </w:r>
      <w:r w:rsidRPr="005868A7">
        <w:rPr>
          <w:i/>
          <w:szCs w:val="28"/>
          <w:vertAlign w:val="subscript"/>
        </w:rPr>
        <w:t>3</w:t>
      </w:r>
      <w:r w:rsidRPr="005868A7">
        <w:rPr>
          <w:szCs w:val="28"/>
        </w:rPr>
        <w:t xml:space="preserve">-MoN(111)_Mo, and </w:t>
      </w:r>
      <w:r w:rsidRPr="005868A7">
        <w:rPr>
          <w:i/>
          <w:szCs w:val="28"/>
        </w:rPr>
        <w:t>δ</w:t>
      </w:r>
      <w:r w:rsidRPr="005868A7">
        <w:rPr>
          <w:i/>
          <w:szCs w:val="28"/>
          <w:vertAlign w:val="subscript"/>
        </w:rPr>
        <w:t>3</w:t>
      </w:r>
      <w:r w:rsidRPr="005868A7">
        <w:rPr>
          <w:szCs w:val="28"/>
        </w:rPr>
        <w:t>-MoN (111)_Mo. However, the (110) termination is mix-truncated with both molybdenum and nitrogen atoms i.e.</w:t>
      </w:r>
      <w:proofErr w:type="gramStart"/>
      <w:r w:rsidRPr="005868A7">
        <w:rPr>
          <w:szCs w:val="28"/>
        </w:rPr>
        <w:t>,</w:t>
      </w:r>
      <w:r w:rsidRPr="005868A7">
        <w:rPr>
          <w:i/>
          <w:szCs w:val="28"/>
        </w:rPr>
        <w:t>δ</w:t>
      </w:r>
      <w:r w:rsidRPr="005868A7">
        <w:rPr>
          <w:i/>
          <w:szCs w:val="28"/>
          <w:vertAlign w:val="subscript"/>
        </w:rPr>
        <w:t>3</w:t>
      </w:r>
      <w:proofErr w:type="gramEnd"/>
      <w:r w:rsidRPr="005868A7">
        <w:rPr>
          <w:szCs w:val="28"/>
        </w:rPr>
        <w:t>-MoN(110)_</w:t>
      </w:r>
      <w:proofErr w:type="spellStart"/>
      <w:r w:rsidRPr="005868A7">
        <w:rPr>
          <w:szCs w:val="28"/>
        </w:rPr>
        <w:t>MoN.</w:t>
      </w:r>
      <w:proofErr w:type="spellEnd"/>
      <w:r w:rsidRPr="005868A7">
        <w:rPr>
          <w:szCs w:val="28"/>
        </w:rPr>
        <w:t xml:space="preserve"> Likewise, the </w:t>
      </w:r>
      <w:r w:rsidRPr="005868A7">
        <w:rPr>
          <w:i/>
          <w:szCs w:val="28"/>
        </w:rPr>
        <w:t>δ</w:t>
      </w:r>
      <w:r w:rsidRPr="005868A7">
        <w:rPr>
          <w:szCs w:val="28"/>
        </w:rPr>
        <w:t xml:space="preserve">-WN faces incur analogous surface terminations. Ab initio atomistic thermodynamics analysis predicts that, N-terminated (111) slab to be the most energetically favourable surface among the </w:t>
      </w:r>
      <w:r w:rsidRPr="005868A7">
        <w:rPr>
          <w:i/>
          <w:szCs w:val="28"/>
        </w:rPr>
        <w:t>δ</w:t>
      </w:r>
      <w:r w:rsidRPr="005868A7">
        <w:rPr>
          <w:i/>
          <w:szCs w:val="28"/>
          <w:vertAlign w:val="subscript"/>
        </w:rPr>
        <w:t>3</w:t>
      </w:r>
      <w:r w:rsidRPr="005868A7">
        <w:rPr>
          <w:szCs w:val="28"/>
        </w:rPr>
        <w:t xml:space="preserve">-MoN studied surfaces. The tungsten terminated </w:t>
      </w:r>
      <w:proofErr w:type="gramStart"/>
      <w:r w:rsidRPr="005868A7">
        <w:rPr>
          <w:szCs w:val="28"/>
        </w:rPr>
        <w:t>WN(</w:t>
      </w:r>
      <w:proofErr w:type="gramEnd"/>
      <w:r w:rsidR="0020081D">
        <w:rPr>
          <w:szCs w:val="28"/>
        </w:rPr>
        <w:t>100</w:t>
      </w:r>
      <w:r w:rsidRPr="005868A7">
        <w:rPr>
          <w:szCs w:val="28"/>
        </w:rPr>
        <w:t xml:space="preserve">)_W surface </w:t>
      </w:r>
      <w:r w:rsidRPr="005868A7">
        <w:rPr>
          <w:rFonts w:eastAsiaTheme="minorHAnsi"/>
          <w:lang w:eastAsia="en-US"/>
        </w:rPr>
        <w:t>exhibits</w:t>
      </w:r>
      <w:r w:rsidRPr="005868A7">
        <w:t xml:space="preserve"> the highest stability in considered </w:t>
      </w:r>
      <w:r w:rsidRPr="005868A7">
        <w:rPr>
          <w:i/>
          <w:szCs w:val="28"/>
        </w:rPr>
        <w:t>δ</w:t>
      </w:r>
      <w:r w:rsidRPr="005868A7">
        <w:rPr>
          <w:szCs w:val="28"/>
        </w:rPr>
        <w:t xml:space="preserve">-WN terminations. Electronic properties characteristics represented by total and projected density of </w:t>
      </w:r>
      <w:r w:rsidRPr="005868A7">
        <w:rPr>
          <w:szCs w:val="28"/>
        </w:rPr>
        <w:lastRenderedPageBreak/>
        <w:t xml:space="preserve">states infer that </w:t>
      </w:r>
      <w:r w:rsidRPr="005868A7">
        <w:rPr>
          <w:i/>
          <w:szCs w:val="28"/>
        </w:rPr>
        <w:t>δ</w:t>
      </w:r>
      <w:r w:rsidRPr="005868A7">
        <w:rPr>
          <w:i/>
          <w:szCs w:val="28"/>
          <w:vertAlign w:val="subscript"/>
        </w:rPr>
        <w:t>3</w:t>
      </w:r>
      <w:r w:rsidRPr="005868A7">
        <w:rPr>
          <w:szCs w:val="28"/>
        </w:rPr>
        <w:t xml:space="preserve">-MoN and </w:t>
      </w:r>
      <w:r w:rsidRPr="005868A7">
        <w:rPr>
          <w:i/>
          <w:szCs w:val="28"/>
        </w:rPr>
        <w:t>δ</w:t>
      </w:r>
      <w:r w:rsidRPr="005868A7">
        <w:rPr>
          <w:szCs w:val="28"/>
        </w:rPr>
        <w:t xml:space="preserve">-WN </w:t>
      </w:r>
      <w:r w:rsidRPr="005868A7">
        <w:rPr>
          <w:rFonts w:eastAsia="AdvPSTim"/>
          <w:szCs w:val="28"/>
          <w:lang w:eastAsia="en-US"/>
        </w:rPr>
        <w:t>most stable surfaces</w:t>
      </w:r>
      <w:r w:rsidRPr="005868A7">
        <w:rPr>
          <w:rFonts w:ascii="AdvPSTim" w:eastAsia="AdvPSTim" w:hAnsiTheme="minorHAnsi" w:cs="AdvPSTim"/>
          <w:sz w:val="16"/>
          <w:szCs w:val="18"/>
          <w:lang w:eastAsia="en-US"/>
        </w:rPr>
        <w:t xml:space="preserve"> </w:t>
      </w:r>
      <w:r w:rsidRPr="005868A7">
        <w:rPr>
          <w:szCs w:val="28"/>
        </w:rPr>
        <w:t xml:space="preserve">afford a metallic character as it is the case in their bulk’s systems. Surface relaxation and reconstruction analysis for the aforementioned surfaces experience both upward and downward displacement of surface molybdenum and tungsten atoms in reference to their bulk positions. Finally, calculated Bader’s electronic charges in surfaces reveal charge transfer from Mo/W atoms to N atoms, largely retaining the ionic bond nature in their bulk phases. </w:t>
      </w:r>
      <w:bookmarkStart w:id="0" w:name="_GoBack"/>
      <w:bookmarkEnd w:id="0"/>
    </w:p>
    <w:p w:rsidR="00534104" w:rsidRPr="005868A7" w:rsidRDefault="00534104" w:rsidP="005868A7">
      <w:pPr>
        <w:spacing w:line="360" w:lineRule="auto"/>
        <w:jc w:val="both"/>
        <w:rPr>
          <w:b/>
          <w:szCs w:val="28"/>
        </w:rPr>
      </w:pPr>
    </w:p>
    <w:p w:rsidR="00534104" w:rsidRPr="005868A7" w:rsidRDefault="00534104" w:rsidP="005868A7">
      <w:pPr>
        <w:jc w:val="both"/>
        <w:rPr>
          <w:sz w:val="22"/>
        </w:rPr>
      </w:pPr>
    </w:p>
    <w:p w:rsidR="00F77200" w:rsidRPr="005868A7" w:rsidRDefault="00270FAD" w:rsidP="005868A7">
      <w:pPr>
        <w:jc w:val="both"/>
        <w:rPr>
          <w:sz w:val="22"/>
        </w:rPr>
      </w:pPr>
      <w:r w:rsidRPr="00270FAD">
        <w:rPr>
          <w:rFonts w:eastAsiaTheme="minorHAnsi"/>
          <w:b/>
          <w:lang w:eastAsia="en-US"/>
        </w:rPr>
        <w:t>Keywords:</w:t>
      </w:r>
      <w:r>
        <w:rPr>
          <w:sz w:val="22"/>
        </w:rPr>
        <w:t xml:space="preserve"> Density functional theory</w:t>
      </w:r>
      <w:r w:rsidR="000F1C3D">
        <w:rPr>
          <w:sz w:val="22"/>
        </w:rPr>
        <w:t xml:space="preserve"> (DFT)</w:t>
      </w:r>
      <w:r>
        <w:rPr>
          <w:sz w:val="22"/>
        </w:rPr>
        <w:t>, transition metal nitride</w:t>
      </w:r>
      <w:r w:rsidR="000F1C3D">
        <w:rPr>
          <w:sz w:val="22"/>
        </w:rPr>
        <w:t>s (TMNs)</w:t>
      </w:r>
      <w:r>
        <w:rPr>
          <w:sz w:val="22"/>
        </w:rPr>
        <w:t>, s</w:t>
      </w:r>
      <w:r w:rsidRPr="00270FAD">
        <w:rPr>
          <w:sz w:val="22"/>
        </w:rPr>
        <w:t>urface relaxation and reconstruction</w:t>
      </w:r>
    </w:p>
    <w:sectPr w:rsidR="00F77200" w:rsidRPr="005868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PSTim">
    <w:altName w:val="Arial Unicode MS"/>
    <w:panose1 w:val="00000000000000000000"/>
    <w:charset w:val="81"/>
    <w:family w:val="auto"/>
    <w:notTrueType/>
    <w:pitch w:val="default"/>
    <w:sig w:usb0="00000000"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18D"/>
    <w:rsid w:val="000F1C3D"/>
    <w:rsid w:val="0020081D"/>
    <w:rsid w:val="00270FAD"/>
    <w:rsid w:val="004A20D0"/>
    <w:rsid w:val="004B218D"/>
    <w:rsid w:val="00534104"/>
    <w:rsid w:val="005868A7"/>
    <w:rsid w:val="00C76D2E"/>
    <w:rsid w:val="00D30B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4B6E0-F6F4-4DB5-8881-84589391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104"/>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20D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6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dc:creator>
  <cp:keywords/>
  <dc:description/>
  <cp:lastModifiedBy>zainab</cp:lastModifiedBy>
  <cp:revision>2</cp:revision>
  <dcterms:created xsi:type="dcterms:W3CDTF">2017-08-04T03:42:00Z</dcterms:created>
  <dcterms:modified xsi:type="dcterms:W3CDTF">2017-08-04T03:42:00Z</dcterms:modified>
</cp:coreProperties>
</file>