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88" w:rsidRPr="00E7727B" w:rsidRDefault="00C65B88" w:rsidP="00C65B8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772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Physical simulation of hot plastic deformation of </w:t>
      </w:r>
      <w:proofErr w:type="spellStart"/>
      <w:r w:rsidRPr="00E772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TiBw</w:t>
      </w:r>
      <w:proofErr w:type="spellEnd"/>
      <w:r w:rsidRPr="00E772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/Ti composites</w:t>
      </w:r>
    </w:p>
    <w:p w:rsidR="00C65B88" w:rsidRPr="00E7727B" w:rsidRDefault="00C65B88" w:rsidP="00C65B88">
      <w:pPr>
        <w:jc w:val="center"/>
        <w:outlineLvl w:val="0"/>
        <w:rPr>
          <w:rFonts w:ascii="Times New Roman" w:hAnsi="Times New Roman" w:cs="Times New Roman"/>
          <w:szCs w:val="21"/>
        </w:rPr>
      </w:pPr>
      <w:r w:rsidRPr="00E7727B">
        <w:rPr>
          <w:rFonts w:ascii="Times New Roman" w:hAnsi="Times New Roman" w:cs="Times New Roman"/>
          <w:szCs w:val="21"/>
        </w:rPr>
        <w:t xml:space="preserve">L. </w:t>
      </w:r>
      <w:proofErr w:type="spellStart"/>
      <w:r w:rsidRPr="00E7727B">
        <w:rPr>
          <w:rFonts w:ascii="Times New Roman" w:hAnsi="Times New Roman" w:cs="Times New Roman"/>
          <w:szCs w:val="21"/>
        </w:rPr>
        <w:t>Geng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and</w:t>
      </w:r>
      <w:r w:rsidRPr="00E7727B">
        <w:rPr>
          <w:rFonts w:ascii="Times New Roman" w:hAnsi="Times New Roman" w:cs="Times New Roman"/>
          <w:szCs w:val="21"/>
        </w:rPr>
        <w:t xml:space="preserve"> L.J. Huang </w:t>
      </w:r>
    </w:p>
    <w:p w:rsidR="00C65B88" w:rsidRDefault="00C65B88" w:rsidP="00C65B88">
      <w:pPr>
        <w:jc w:val="center"/>
        <w:rPr>
          <w:rFonts w:ascii="Times New Roman" w:hAnsi="Times New Roman" w:cs="Times New Roman"/>
          <w:i/>
          <w:color w:val="000000"/>
          <w:szCs w:val="21"/>
        </w:rPr>
      </w:pPr>
      <w:r w:rsidRPr="00E7727B">
        <w:rPr>
          <w:rFonts w:ascii="Times New Roman" w:eastAsia="Malgun Gothic" w:hAnsi="Times New Roman" w:cs="Times New Roman"/>
          <w:i/>
          <w:color w:val="000000"/>
          <w:szCs w:val="21"/>
          <w:lang w:eastAsia="ko-KR"/>
        </w:rPr>
        <w:t>School of Materials Science and Engineering, Harbin Institute of Technology, P.O. Box433, Harbin 150001, China</w:t>
      </w:r>
    </w:p>
    <w:p w:rsidR="00C65B88" w:rsidRPr="001F5470" w:rsidRDefault="00C65B88" w:rsidP="00C65B88">
      <w:pPr>
        <w:jc w:val="center"/>
        <w:rPr>
          <w:rFonts w:ascii="Times New Roman" w:hAnsi="Times New Roman" w:cs="Times New Roman"/>
          <w:i/>
          <w:color w:val="000000"/>
          <w:szCs w:val="21"/>
        </w:rPr>
      </w:pPr>
      <w:r>
        <w:rPr>
          <w:rFonts w:ascii="Times New Roman" w:hAnsi="Times New Roman" w:cs="Times New Roman" w:hint="eastAsia"/>
          <w:i/>
          <w:color w:val="000000"/>
          <w:szCs w:val="21"/>
        </w:rPr>
        <w:t>genglin@hit.edu.cn</w:t>
      </w:r>
    </w:p>
    <w:p w:rsidR="00C65B88" w:rsidRPr="00E7727B" w:rsidRDefault="00C65B88" w:rsidP="00C65B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65B88" w:rsidRDefault="00C65B88" w:rsidP="00C65B8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he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TiBw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/Ti composites with network microstructure exhibited a superior combination of strength and ductility. Moreover, the service temperature of the composites can be increased by 100-200</w:t>
      </w:r>
      <w:r w:rsidRPr="0048796C"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  <w:vertAlign w:val="superscript"/>
        </w:rPr>
        <w:t>o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C. Therefore, it is significant to study the microstructure evolution of the network structured composites and optimize deformation parameters by physical simulation of hot plastic deformation in order to guide their forming and applications.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he hot 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>simulation compression</w:t>
      </w:r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was performed on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TiBw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/Ti6Al4V and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TiBw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/Ti</w:t>
      </w:r>
      <w:r w:rsidR="00470D4B"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bCs/>
          <w:color w:val="000000"/>
          <w:sz w:val="24"/>
          <w:szCs w:val="24"/>
          <w:shd w:val="clear" w:color="auto" w:fill="FFFFFF"/>
        </w:rPr>
        <w:t xml:space="preserve">composites with network 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>microstructure</w:t>
      </w:r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 xml:space="preserve"> 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>in the temperature range of 900-1100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  <w:vertAlign w:val="superscript"/>
        </w:rPr>
        <w:t>o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>C and strain rate range of 0.001-10 s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  <w:vertAlign w:val="superscript"/>
        </w:rPr>
        <w:t>-1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 xml:space="preserve"> The stress-strain curves, deformation behaviors and mechanisms were analyzed for the </w:t>
      </w:r>
      <w:proofErr w:type="spellStart"/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>TiBw</w:t>
      </w:r>
      <w:proofErr w:type="spellEnd"/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 xml:space="preserve">/Ti composites.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he </w:t>
      </w:r>
      <w:r w:rsidRPr="00BD2C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constitutive equations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 and </w:t>
      </w:r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>p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>rocessing map</w:t>
      </w:r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>s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 xml:space="preserve"> of the novel composite</w:t>
      </w:r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>s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 xml:space="preserve"> w</w:t>
      </w:r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 xml:space="preserve">ere </w:t>
      </w:r>
      <w:r w:rsidRPr="00E7727B">
        <w:rPr>
          <w:rFonts w:ascii="Times New Roman" w:hAnsi="Times New Roman" w:cs="Times New Roman"/>
          <w:sz w:val="24"/>
          <w:szCs w:val="24"/>
        </w:rPr>
        <w:t>constructed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7727B">
        <w:rPr>
          <w:rFonts w:ascii="Times New Roman" w:hAnsi="Times New Roman" w:cs="Times New Roman"/>
          <w:sz w:val="24"/>
          <w:szCs w:val="24"/>
        </w:rPr>
        <w:t>using the compression data based on the dynamic material model (DMM)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>.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T</w:t>
      </w:r>
      <w:r w:rsidRPr="00E7727B">
        <w:rPr>
          <w:rFonts w:ascii="Times New Roman" w:hAnsi="Times New Roman" w:cs="Times New Roman"/>
          <w:bCs/>
          <w:sz w:val="24"/>
          <w:szCs w:val="24"/>
        </w:rPr>
        <w:t xml:space="preserve">he </w:t>
      </w:r>
      <w:r>
        <w:rPr>
          <w:rFonts w:ascii="Times New Roman" w:eastAsia="AdvGulliv-R" w:hAnsi="Times New Roman" w:cs="Times New Roman" w:hint="eastAsia"/>
          <w:kern w:val="0"/>
          <w:sz w:val="24"/>
          <w:szCs w:val="24"/>
        </w:rPr>
        <w:t>p</w:t>
      </w:r>
      <w:r w:rsidRPr="00E7727B">
        <w:rPr>
          <w:rFonts w:ascii="Times New Roman" w:eastAsia="AdvGulliv-R" w:hAnsi="Times New Roman" w:cs="Times New Roman"/>
          <w:kern w:val="0"/>
          <w:sz w:val="24"/>
          <w:szCs w:val="24"/>
        </w:rPr>
        <w:t>rocessing map</w:t>
      </w:r>
      <w:r w:rsidRPr="00E7727B">
        <w:rPr>
          <w:rFonts w:ascii="Times New Roman" w:hAnsi="Times New Roman" w:cs="Times New Roman"/>
          <w:bCs/>
          <w:sz w:val="24"/>
          <w:szCs w:val="24"/>
        </w:rPr>
        <w:t xml:space="preserve"> exhibit</w:t>
      </w:r>
      <w:r>
        <w:rPr>
          <w:rFonts w:ascii="Times New Roman" w:hAnsi="Times New Roman" w:cs="Times New Roman" w:hint="eastAsia"/>
          <w:bCs/>
          <w:sz w:val="24"/>
          <w:szCs w:val="24"/>
        </w:rPr>
        <w:t>ed</w:t>
      </w:r>
      <w:r w:rsidRPr="00E7727B">
        <w:rPr>
          <w:rFonts w:ascii="Times New Roman" w:hAnsi="Times New Roman" w:cs="Times New Roman"/>
          <w:bCs/>
          <w:sz w:val="24"/>
          <w:szCs w:val="24"/>
        </w:rPr>
        <w:t xml:space="preserve"> two domains with peak efficiencies: one is in the </w:t>
      </w:r>
      <w:proofErr w:type="spellStart"/>
      <w:r w:rsidRPr="00E7727B">
        <w:rPr>
          <w:rFonts w:ascii="Times New Roman" w:hAnsi="Times New Roman" w:cs="Times New Roman"/>
          <w:bCs/>
          <w:sz w:val="24"/>
          <w:szCs w:val="24"/>
        </w:rPr>
        <w:t>α+β</w:t>
      </w:r>
      <w:proofErr w:type="spellEnd"/>
      <w:r w:rsidRPr="00E7727B">
        <w:rPr>
          <w:rFonts w:ascii="Times New Roman" w:hAnsi="Times New Roman" w:cs="Times New Roman"/>
          <w:bCs/>
          <w:sz w:val="24"/>
          <w:szCs w:val="24"/>
        </w:rPr>
        <w:t xml:space="preserve"> range, and the other is in the β range. The domain in </w:t>
      </w:r>
      <w:proofErr w:type="spellStart"/>
      <w:r w:rsidRPr="00E7727B">
        <w:rPr>
          <w:rFonts w:ascii="Times New Roman" w:hAnsi="Times New Roman" w:cs="Times New Roman"/>
          <w:bCs/>
          <w:sz w:val="24"/>
          <w:szCs w:val="24"/>
        </w:rPr>
        <w:t>α+β</w:t>
      </w:r>
      <w:proofErr w:type="spellEnd"/>
      <w:r w:rsidRPr="00E7727B">
        <w:rPr>
          <w:rFonts w:ascii="Times New Roman" w:hAnsi="Times New Roman" w:cs="Times New Roman"/>
          <w:bCs/>
          <w:sz w:val="24"/>
          <w:szCs w:val="24"/>
        </w:rPr>
        <w:t xml:space="preserve"> range indicates </w:t>
      </w:r>
      <w:proofErr w:type="spellStart"/>
      <w:r w:rsidRPr="00E7727B">
        <w:rPr>
          <w:rFonts w:ascii="Times New Roman" w:hAnsi="Times New Roman" w:cs="Times New Roman"/>
          <w:bCs/>
          <w:sz w:val="24"/>
          <w:szCs w:val="24"/>
        </w:rPr>
        <w:t>superplasticity</w:t>
      </w:r>
      <w:proofErr w:type="spellEnd"/>
      <w:r w:rsidRPr="00E7727B">
        <w:rPr>
          <w:rFonts w:ascii="Times New Roman" w:hAnsi="Times New Roman" w:cs="Times New Roman"/>
          <w:bCs/>
          <w:sz w:val="24"/>
          <w:szCs w:val="24"/>
        </w:rPr>
        <w:t>, α phase DRX, while the domain in β range does safe regions being DRX of β phase.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In addition, </w:t>
      </w:r>
      <w:r>
        <w:rPr>
          <w:rFonts w:ascii="Times New Roman" w:eastAsia="AdvEPSTIM" w:hAnsi="Times New Roman" w:cs="Times New Roman" w:hint="eastAsia"/>
          <w:kern w:val="0"/>
          <w:sz w:val="24"/>
          <w:szCs w:val="24"/>
        </w:rPr>
        <w:t>w</w:t>
      </w:r>
      <w:r w:rsidRPr="00035AB2">
        <w:rPr>
          <w:rFonts w:ascii="Times New Roman" w:eastAsia="AdvEPSTIM" w:hAnsi="Times New Roman" w:cs="Times New Roman" w:hint="eastAsia"/>
          <w:kern w:val="0"/>
          <w:sz w:val="24"/>
          <w:szCs w:val="24"/>
        </w:rPr>
        <w:t xml:space="preserve">ith </w:t>
      </w:r>
      <w:r w:rsidRPr="00035AB2">
        <w:rPr>
          <w:rFonts w:ascii="Times New Roman" w:eastAsia="AdvEPSTIM" w:hAnsi="Times New Roman" w:cs="Times New Roman"/>
          <w:kern w:val="0"/>
          <w:sz w:val="24"/>
          <w:szCs w:val="24"/>
        </w:rPr>
        <w:t>decreasing</w:t>
      </w:r>
      <w:r w:rsidRPr="00035AB2">
        <w:rPr>
          <w:rFonts w:ascii="Times New Roman" w:eastAsia="AdvEPSTIM" w:hAnsi="Times New Roman" w:cs="Times New Roman" w:hint="eastAsia"/>
          <w:kern w:val="0"/>
          <w:sz w:val="24"/>
          <w:szCs w:val="24"/>
        </w:rPr>
        <w:t xml:space="preserve"> strain rates, low angle grain </w:t>
      </w:r>
      <w:r w:rsidRPr="00035AB2">
        <w:rPr>
          <w:rFonts w:ascii="Times New Roman" w:eastAsia="AdvEPSTIM" w:hAnsi="Times New Roman" w:cs="Times New Roman"/>
          <w:kern w:val="0"/>
          <w:sz w:val="24"/>
          <w:szCs w:val="24"/>
        </w:rPr>
        <w:t>boundaries</w:t>
      </w:r>
      <w:r w:rsidRPr="00035AB2">
        <w:rPr>
          <w:rFonts w:ascii="Times New Roman" w:eastAsia="AdvEPSTIM" w:hAnsi="Times New Roman" w:cs="Times New Roman" w:hint="eastAsia"/>
          <w:kern w:val="0"/>
          <w:sz w:val="24"/>
          <w:szCs w:val="24"/>
        </w:rPr>
        <w:t xml:space="preserve"> (LAGBs) in </w:t>
      </w:r>
      <w:proofErr w:type="spellStart"/>
      <w:r w:rsidRPr="00035AB2">
        <w:rPr>
          <w:rFonts w:ascii="Times New Roman" w:eastAsia="AdvEPSTIM" w:hAnsi="Times New Roman" w:cs="Times New Roman"/>
          <w:kern w:val="0"/>
          <w:sz w:val="24"/>
          <w:szCs w:val="24"/>
        </w:rPr>
        <w:t>α</w:t>
      </w:r>
      <w:r w:rsidRPr="00035AB2">
        <w:rPr>
          <w:rFonts w:ascii="Times New Roman" w:eastAsia="AdvEPSTIM" w:hAnsi="Times New Roman" w:cs="Times New Roman"/>
          <w:kern w:val="0"/>
          <w:sz w:val="24"/>
          <w:szCs w:val="24"/>
          <w:vertAlign w:val="subscript"/>
        </w:rPr>
        <w:t>p</w:t>
      </w:r>
      <w:proofErr w:type="spellEnd"/>
      <w:r w:rsidRPr="00035AB2">
        <w:rPr>
          <w:rFonts w:ascii="Times New Roman" w:eastAsia="AdvEPSTIM" w:hAnsi="Times New Roman" w:cs="Times New Roman" w:hint="eastAsia"/>
          <w:kern w:val="0"/>
          <w:sz w:val="24"/>
          <w:szCs w:val="24"/>
        </w:rPr>
        <w:t xml:space="preserve"> phase were decreased and transformed into high angle grain </w:t>
      </w:r>
      <w:r w:rsidRPr="00035AB2">
        <w:rPr>
          <w:rFonts w:ascii="Times New Roman" w:eastAsia="AdvEPSTIM" w:hAnsi="Times New Roman" w:cs="Times New Roman"/>
          <w:kern w:val="0"/>
          <w:sz w:val="24"/>
          <w:szCs w:val="24"/>
        </w:rPr>
        <w:t>boundaries</w:t>
      </w:r>
      <w:r w:rsidRPr="00035AB2">
        <w:rPr>
          <w:rFonts w:ascii="Times New Roman" w:eastAsia="AdvEPSTIM" w:hAnsi="Times New Roman" w:cs="Times New Roman" w:hint="eastAsia"/>
          <w:kern w:val="0"/>
          <w:sz w:val="24"/>
          <w:szCs w:val="24"/>
        </w:rPr>
        <w:t xml:space="preserve"> (HAGBs), which can result in </w:t>
      </w:r>
      <w:proofErr w:type="spellStart"/>
      <w:r w:rsidRPr="00035AB2">
        <w:rPr>
          <w:rFonts w:ascii="Times New Roman" w:eastAsia="AdvEPSTIM" w:hAnsi="Times New Roman" w:cs="Times New Roman" w:hint="eastAsia"/>
          <w:kern w:val="0"/>
          <w:sz w:val="24"/>
          <w:szCs w:val="24"/>
        </w:rPr>
        <w:t>globularization</w:t>
      </w:r>
      <w:proofErr w:type="spellEnd"/>
      <w:r>
        <w:rPr>
          <w:rFonts w:ascii="Times New Roman" w:eastAsia="AdvEPSTIM" w:hAnsi="Times New Roman" w:cs="Times New Roman" w:hint="eastAsia"/>
          <w:kern w:val="0"/>
          <w:sz w:val="24"/>
          <w:szCs w:val="24"/>
        </w:rPr>
        <w:t xml:space="preserve"> </w:t>
      </w:r>
      <w:r w:rsidRPr="00035AB2">
        <w:rPr>
          <w:rFonts w:ascii="Times New Roman" w:eastAsia="AdvEPSTIM" w:hAnsi="Times New Roman" w:cs="Times New Roman"/>
          <w:kern w:val="0"/>
          <w:sz w:val="24"/>
          <w:szCs w:val="24"/>
        </w:rPr>
        <w:t xml:space="preserve">of </w:t>
      </w:r>
      <w:proofErr w:type="spellStart"/>
      <w:r w:rsidRPr="00035AB2">
        <w:rPr>
          <w:rFonts w:ascii="Times New Roman" w:eastAsia="AdvEPSTIM" w:hAnsi="Times New Roman" w:cs="Times New Roman"/>
          <w:kern w:val="0"/>
          <w:sz w:val="24"/>
          <w:szCs w:val="24"/>
        </w:rPr>
        <w:t>α</w:t>
      </w:r>
      <w:r w:rsidRPr="00035AB2">
        <w:rPr>
          <w:rFonts w:ascii="Times New Roman" w:eastAsia="AdvEPSTIM" w:hAnsi="Times New Roman" w:cs="Times New Roman" w:hint="eastAsia"/>
          <w:kern w:val="0"/>
          <w:sz w:val="24"/>
          <w:szCs w:val="24"/>
          <w:vertAlign w:val="subscript"/>
        </w:rPr>
        <w:t>p</w:t>
      </w:r>
      <w:proofErr w:type="spellEnd"/>
      <w:r w:rsidRPr="00035AB2">
        <w:rPr>
          <w:rFonts w:ascii="Times New Roman" w:eastAsia="AdvEPSTIM" w:hAnsi="Times New Roman" w:cs="Times New Roman" w:hint="eastAsia"/>
          <w:kern w:val="0"/>
          <w:sz w:val="24"/>
          <w:szCs w:val="24"/>
          <w:vertAlign w:val="subscript"/>
        </w:rPr>
        <w:t xml:space="preserve"> </w:t>
      </w:r>
      <w:r w:rsidRPr="00035AB2">
        <w:rPr>
          <w:rFonts w:ascii="Times New Roman" w:eastAsia="AdvEPSTIM" w:hAnsi="Times New Roman" w:cs="Times New Roman" w:hint="eastAsia"/>
          <w:kern w:val="0"/>
          <w:sz w:val="24"/>
          <w:szCs w:val="24"/>
        </w:rPr>
        <w:t xml:space="preserve">phase. </w:t>
      </w:r>
      <w:r w:rsidRPr="00E7727B">
        <w:rPr>
          <w:rFonts w:ascii="Times New Roman" w:hAnsi="Times New Roman" w:cs="Times New Roman"/>
          <w:color w:val="000000"/>
          <w:sz w:val="24"/>
          <w:szCs w:val="24"/>
        </w:rPr>
        <w:t xml:space="preserve">When the </w:t>
      </w:r>
      <w:r w:rsidRPr="00741E2E">
        <w:rPr>
          <w:rFonts w:ascii="Times New Roman" w:hAnsi="Times New Roman" w:cs="Times New Roman"/>
          <w:color w:val="000000"/>
          <w:sz w:val="24"/>
          <w:szCs w:val="24"/>
        </w:rPr>
        <w:t xml:space="preserve">composites were deformed at low strain rate, new grains are not formed by classical nucleation mechanism; the </w:t>
      </w:r>
      <w:proofErr w:type="spellStart"/>
      <w:r w:rsidRPr="00741E2E">
        <w:rPr>
          <w:rFonts w:ascii="Times New Roman" w:hAnsi="Times New Roman" w:cs="Times New Roman"/>
          <w:color w:val="000000"/>
          <w:sz w:val="24"/>
          <w:szCs w:val="24"/>
        </w:rPr>
        <w:t>recrystallized</w:t>
      </w:r>
      <w:proofErr w:type="spellEnd"/>
      <w:r w:rsidRPr="00741E2E">
        <w:rPr>
          <w:rFonts w:ascii="Times New Roman" w:hAnsi="Times New Roman" w:cs="Times New Roman"/>
          <w:color w:val="000000"/>
          <w:sz w:val="24"/>
          <w:szCs w:val="24"/>
        </w:rPr>
        <w:t xml:space="preserve"> microstructure develops instead by the progressive transformation of sub grains (LAGBs) into new grains.</w:t>
      </w:r>
    </w:p>
    <w:p w:rsidR="00C65B88" w:rsidRDefault="00C65B88" w:rsidP="00C65B8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2347C" w:rsidRDefault="00C65B88" w:rsidP="00C65B88"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</w:rPr>
        <w:t>TiB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whisker, Ti alloy, composites, plastic deformation, processing map.</w:t>
      </w:r>
    </w:p>
    <w:sectPr w:rsidR="0062347C" w:rsidSect="00A016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dvGulliv-R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EPSTIM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65B88"/>
    <w:rsid w:val="00470D4B"/>
    <w:rsid w:val="00A01618"/>
    <w:rsid w:val="00B43378"/>
    <w:rsid w:val="00C65B88"/>
    <w:rsid w:val="00EF7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B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2017-08-01T06:11:00Z</dcterms:created>
  <dcterms:modified xsi:type="dcterms:W3CDTF">2017-08-01T06:12:00Z</dcterms:modified>
</cp:coreProperties>
</file>