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974B24" w14:textId="0D718E6C" w:rsidR="00AE3E37" w:rsidRPr="00233758" w:rsidRDefault="00233758" w:rsidP="00494130">
      <w:pPr>
        <w:pStyle w:val="Heading1"/>
        <w:spacing w:before="170"/>
        <w:ind w:left="0"/>
        <w:rPr>
          <w:color w:val="337AB7"/>
        </w:rPr>
      </w:pPr>
      <w:bookmarkStart w:id="0" w:name="_Hlk31321307"/>
      <w:bookmarkEnd w:id="0"/>
      <w:r>
        <w:rPr>
          <w:color w:val="337AB7"/>
        </w:rPr>
        <w:t>Hollow structure in MnO</w:t>
      </w:r>
      <w:r w:rsidRPr="000B72CE">
        <w:rPr>
          <w:color w:val="337AB7"/>
          <w:vertAlign w:val="subscript"/>
        </w:rPr>
        <w:t>2</w:t>
      </w:r>
      <w:r>
        <w:rPr>
          <w:color w:val="337AB7"/>
        </w:rPr>
        <w:t xml:space="preserve"> wrapped sulfur microsphere to suppress the volume changes in lithium</w:t>
      </w:r>
      <w:r w:rsidR="00035522">
        <w:rPr>
          <w:color w:val="337AB7"/>
        </w:rPr>
        <w:t>-</w:t>
      </w:r>
      <w:r>
        <w:rPr>
          <w:color w:val="337AB7"/>
        </w:rPr>
        <w:t>sulfur battery</w:t>
      </w:r>
    </w:p>
    <w:p w14:paraId="7609CBDD" w14:textId="2871C256" w:rsidR="00233758" w:rsidRPr="00D911BF" w:rsidRDefault="00233758" w:rsidP="00233758">
      <w:pPr>
        <w:pStyle w:val="BodyText"/>
        <w:spacing w:before="73" w:line="198" w:lineRule="exact"/>
        <w:ind w:left="100" w:right="767"/>
        <w:jc w:val="both"/>
        <w:rPr>
          <w:rFonts w:ascii="Arial"/>
        </w:rPr>
      </w:pPr>
      <w:r w:rsidRPr="00A4210F">
        <w:rPr>
          <w:rFonts w:ascii="Arial"/>
          <w:b/>
          <w:bCs/>
        </w:rPr>
        <w:t>Haojie FEI</w:t>
      </w:r>
      <w:r w:rsidRPr="00D95D9E">
        <w:rPr>
          <w:rFonts w:ascii="Arial"/>
          <w:vertAlign w:val="superscript"/>
        </w:rPr>
        <w:t>1,</w:t>
      </w:r>
      <w:r w:rsidRPr="00D911BF">
        <w:rPr>
          <w:rFonts w:ascii="Arial"/>
        </w:rPr>
        <w:t>*</w:t>
      </w:r>
      <w:r>
        <w:rPr>
          <w:rFonts w:ascii="Arial"/>
        </w:rPr>
        <w:t>,</w:t>
      </w:r>
      <w:r w:rsidRPr="00451777">
        <w:rPr>
          <w:rFonts w:ascii="Arial"/>
        </w:rPr>
        <w:t>Elif Vargun</w:t>
      </w:r>
      <w:r w:rsidRPr="00451777">
        <w:rPr>
          <w:rFonts w:ascii="Arial"/>
          <w:vertAlign w:val="superscript"/>
        </w:rPr>
        <w:t>1,</w:t>
      </w:r>
      <w:r>
        <w:rPr>
          <w:rFonts w:ascii="Arial"/>
          <w:vertAlign w:val="superscript"/>
        </w:rPr>
        <w:t>3</w:t>
      </w:r>
      <w:r>
        <w:rPr>
          <w:rFonts w:ascii="Arial"/>
        </w:rPr>
        <w:t xml:space="preserve"> </w:t>
      </w:r>
      <w:r w:rsidRPr="00D911BF">
        <w:rPr>
          <w:rFonts w:ascii="Arial"/>
        </w:rPr>
        <w:t xml:space="preserve">Natalia </w:t>
      </w:r>
      <w:r>
        <w:rPr>
          <w:rFonts w:ascii="Arial"/>
        </w:rPr>
        <w:t>Kazantseva</w:t>
      </w:r>
      <w:r w:rsidRPr="00D911BF">
        <w:rPr>
          <w:rFonts w:ascii="Arial"/>
          <w:vertAlign w:val="superscript"/>
        </w:rPr>
        <w:t>1</w:t>
      </w:r>
      <w:r w:rsidRPr="00D911BF">
        <w:rPr>
          <w:rFonts w:ascii="Arial"/>
        </w:rPr>
        <w:t xml:space="preserve">, Robert </w:t>
      </w:r>
      <w:r>
        <w:rPr>
          <w:rFonts w:ascii="Arial"/>
        </w:rPr>
        <w:t>Moucka</w:t>
      </w:r>
      <w:r w:rsidRPr="00D911BF">
        <w:rPr>
          <w:rFonts w:ascii="Arial"/>
          <w:vertAlign w:val="superscript"/>
        </w:rPr>
        <w:t>1</w:t>
      </w:r>
      <w:r w:rsidRPr="00D911BF">
        <w:rPr>
          <w:rFonts w:ascii="Arial"/>
        </w:rPr>
        <w:t xml:space="preserve">, Qilin </w:t>
      </w:r>
      <w:r>
        <w:rPr>
          <w:rFonts w:ascii="Arial"/>
        </w:rPr>
        <w:t>Cheng</w:t>
      </w:r>
      <w:r w:rsidRPr="00D911BF">
        <w:rPr>
          <w:rFonts w:ascii="Arial"/>
          <w:vertAlign w:val="superscript"/>
        </w:rPr>
        <w:t>1, 2</w:t>
      </w:r>
      <w:r w:rsidRPr="00D911BF">
        <w:rPr>
          <w:rFonts w:ascii="Arial"/>
        </w:rPr>
        <w:t>, Gengchao W</w:t>
      </w:r>
      <w:r>
        <w:rPr>
          <w:rFonts w:ascii="Arial"/>
        </w:rPr>
        <w:t>ang</w:t>
      </w:r>
      <w:r w:rsidRPr="00D911BF">
        <w:rPr>
          <w:rFonts w:ascii="Arial"/>
          <w:vertAlign w:val="superscript"/>
        </w:rPr>
        <w:t>2</w:t>
      </w:r>
      <w:r w:rsidRPr="00D911BF">
        <w:rPr>
          <w:rFonts w:ascii="Arial"/>
        </w:rPr>
        <w:t>, Hua B</w:t>
      </w:r>
      <w:r>
        <w:rPr>
          <w:rFonts w:ascii="Arial"/>
        </w:rPr>
        <w:t>ao</w:t>
      </w:r>
      <w:r w:rsidRPr="00D911BF">
        <w:rPr>
          <w:rFonts w:ascii="Arial"/>
          <w:vertAlign w:val="superscript"/>
        </w:rPr>
        <w:t>2</w:t>
      </w:r>
      <w:r w:rsidRPr="00D911BF">
        <w:rPr>
          <w:rFonts w:ascii="Arial"/>
        </w:rPr>
        <w:t>, Petr S</w:t>
      </w:r>
      <w:r>
        <w:rPr>
          <w:rFonts w:ascii="Arial"/>
        </w:rPr>
        <w:t>aha</w:t>
      </w:r>
      <w:r w:rsidRPr="00D911BF">
        <w:rPr>
          <w:rFonts w:ascii="Arial"/>
          <w:vertAlign w:val="superscript"/>
        </w:rPr>
        <w:t>1</w:t>
      </w:r>
    </w:p>
    <w:p w14:paraId="70DEDE16" w14:textId="77777777" w:rsidR="00233758" w:rsidRDefault="00233758" w:rsidP="00233758">
      <w:pPr>
        <w:pStyle w:val="BodyText"/>
        <w:spacing w:before="73" w:line="198" w:lineRule="exact"/>
        <w:ind w:left="100" w:right="484"/>
        <w:jc w:val="both"/>
        <w:rPr>
          <w:rFonts w:ascii="宋体" w:eastAsia="宋体" w:hAnsi="宋体" w:cs="宋体"/>
          <w:lang w:eastAsia="zh-CN"/>
        </w:rPr>
      </w:pPr>
      <w:r w:rsidRPr="00D911BF">
        <w:rPr>
          <w:rFonts w:ascii="Arial"/>
        </w:rPr>
        <w:t>1</w:t>
      </w:r>
      <w:r>
        <w:rPr>
          <w:rFonts w:ascii="Arial"/>
        </w:rPr>
        <w:t xml:space="preserve"> Centre of polymer systems</w:t>
      </w:r>
      <w:r w:rsidRPr="00D911BF">
        <w:rPr>
          <w:rFonts w:ascii="Arial"/>
        </w:rPr>
        <w:t>, Tomas Bata University in Zlin,</w:t>
      </w:r>
      <w:r>
        <w:rPr>
          <w:rFonts w:ascii="Arial"/>
        </w:rPr>
        <w:t xml:space="preserve"> </w:t>
      </w:r>
      <w:r w:rsidRPr="00D911BF">
        <w:rPr>
          <w:rFonts w:ascii="Arial"/>
        </w:rPr>
        <w:t>Czech Republi</w:t>
      </w:r>
      <w:r>
        <w:rPr>
          <w:rFonts w:ascii="Arial"/>
        </w:rPr>
        <w:t>c</w:t>
      </w:r>
    </w:p>
    <w:p w14:paraId="30FAE383" w14:textId="77777777" w:rsidR="00233758" w:rsidRDefault="00233758" w:rsidP="00233758">
      <w:pPr>
        <w:pStyle w:val="BodyText"/>
        <w:spacing w:before="73" w:line="198" w:lineRule="exact"/>
        <w:ind w:left="100" w:right="484"/>
        <w:jc w:val="both"/>
        <w:rPr>
          <w:rFonts w:ascii="Arial"/>
        </w:rPr>
      </w:pPr>
      <w:r w:rsidRPr="00D911BF">
        <w:rPr>
          <w:rFonts w:ascii="Arial"/>
        </w:rPr>
        <w:t>2</w:t>
      </w:r>
      <w:r>
        <w:rPr>
          <w:rFonts w:ascii="Arial"/>
        </w:rPr>
        <w:t xml:space="preserve"> </w:t>
      </w:r>
      <w:r w:rsidRPr="00D911BF">
        <w:rPr>
          <w:rFonts w:ascii="Arial"/>
        </w:rPr>
        <w:t>Key Laboratory for Ultrafine Materials of Ministry of Education, School of Materials Science and Engineering,</w:t>
      </w:r>
      <w:r>
        <w:rPr>
          <w:rFonts w:ascii="Arial"/>
        </w:rPr>
        <w:t xml:space="preserve"> </w:t>
      </w:r>
      <w:r w:rsidRPr="00D911BF">
        <w:rPr>
          <w:rFonts w:ascii="Arial"/>
        </w:rPr>
        <w:t>East China University of Science and Technology, China</w:t>
      </w:r>
    </w:p>
    <w:p w14:paraId="23F6D343" w14:textId="77777777" w:rsidR="00233758" w:rsidRPr="00AA30DC" w:rsidRDefault="00233758" w:rsidP="00233758">
      <w:pPr>
        <w:pStyle w:val="BodyText"/>
        <w:spacing w:before="73" w:line="198" w:lineRule="exact"/>
        <w:ind w:left="100" w:right="484"/>
        <w:jc w:val="both"/>
        <w:rPr>
          <w:rFonts w:ascii="Arial"/>
        </w:rPr>
      </w:pPr>
      <w:r>
        <w:rPr>
          <w:rFonts w:ascii="Arial"/>
        </w:rPr>
        <w:t>3</w:t>
      </w:r>
      <w:r w:rsidRPr="00A310E1">
        <w:rPr>
          <w:rFonts w:ascii="Arial"/>
        </w:rPr>
        <w:t>. Department of Chemistry, Mugla Sitki Kocman University, Mugla, Turkey</w:t>
      </w:r>
    </w:p>
    <w:p w14:paraId="3B515EEC" w14:textId="0A5F224D"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BB35D0D" w14:textId="5CA50E8E" w:rsidR="00AE3E37" w:rsidRDefault="00A9710C">
      <w:pPr>
        <w:pStyle w:val="Heading3"/>
        <w:spacing w:before="147"/>
        <w:jc w:val="both"/>
      </w:pPr>
      <w:r>
        <w:rPr>
          <w:color w:val="BF5A14"/>
        </w:rPr>
        <w:t>Abstract</w:t>
      </w:r>
    </w:p>
    <w:p w14:paraId="68BBECF6" w14:textId="77777777" w:rsidR="00233758" w:rsidRPr="000C44AB" w:rsidRDefault="00233758" w:rsidP="00233758">
      <w:pPr>
        <w:pStyle w:val="BodyText"/>
        <w:spacing w:before="90" w:line="280" w:lineRule="auto"/>
        <w:ind w:left="100"/>
        <w:jc w:val="both"/>
      </w:pPr>
      <w:r>
        <w:t>Statement of the Problem: Lithium-sulfur batteries are considered as a promising candidate for next-generation energy-storage devices due to their high theoretical energy density of 2600 W h kg</w:t>
      </w:r>
      <w:r w:rsidRPr="00A310E1">
        <w:rPr>
          <w:rFonts w:ascii="微软雅黑" w:eastAsia="微软雅黑" w:hAnsi="微软雅黑" w:cs="微软雅黑" w:hint="eastAsia"/>
          <w:vertAlign w:val="superscript"/>
        </w:rPr>
        <w:t>-</w:t>
      </w:r>
      <w:r w:rsidRPr="00A310E1">
        <w:rPr>
          <w:rFonts w:ascii="微软雅黑" w:eastAsia="微软雅黑" w:hAnsi="微软雅黑" w:cs="微软雅黑"/>
          <w:vertAlign w:val="superscript"/>
        </w:rPr>
        <w:t>1</w:t>
      </w:r>
      <w:r>
        <w:t xml:space="preserve"> (sulfur cathode coupled with lithium metal anode). The sulfur cathode has a high theoretical specific capacity of 1673 mA h g</w:t>
      </w:r>
      <w:r w:rsidRPr="000C44AB">
        <w:rPr>
          <w:vertAlign w:val="superscript"/>
        </w:rPr>
        <w:t>-1</w:t>
      </w:r>
      <w:r>
        <w:t>. It is low cost and environmentally friendly. However, there are several challenges in sulfur cathodes before using in practical application such as low conductivity of sulfur and their intermediates, large volumetric expansion during lithiation and “shuttle effect” of soluble polysulfides.</w:t>
      </w:r>
    </w:p>
    <w:p w14:paraId="0C7E9394" w14:textId="77777777" w:rsidR="00233758" w:rsidRDefault="00233758" w:rsidP="00233758">
      <w:pPr>
        <w:pStyle w:val="BodyText"/>
        <w:spacing w:line="278" w:lineRule="auto"/>
        <w:ind w:left="100"/>
        <w:jc w:val="both"/>
      </w:pPr>
      <w:r>
        <w:t>Methodology &amp; Theoretical Orientation: In this study, we have prepared sulfur microspheres with hollow structures by adding MWCNT. These hollow structures are able to provide space for the expansion of sulfur during the lithiation. Then, the sulfur microspheres were wrapped by MnO</w:t>
      </w:r>
      <w:r w:rsidRPr="0077724E">
        <w:rPr>
          <w:vertAlign w:val="subscript"/>
        </w:rPr>
        <w:t>2</w:t>
      </w:r>
      <w:r>
        <w:t xml:space="preserve"> nanoflakes, which can strongly absorb the polysulfides to prevent from the “shuttle effect”. Moreover, carbonized polyaniline (PANI) separated reduced graphene oxide (RGO) was used as the conducting additives coupled with carbon black, which helps to build a light and conductive matrix. The characterization of electrode materials was performed by XRD, SEM, TEM and Raman spectroscopy. The electrochemical performance of assembled lithium sulfur batteries was measured by cyclic voltammetry (CV) and galvanostatic charge-discharge (GCD) techniques. The effect of hollow structure in the sulfur microspheres on the electrochemical performance especially on cycling life was evaluated.</w:t>
      </w:r>
    </w:p>
    <w:p w14:paraId="6EF0520E" w14:textId="77B7F347" w:rsidR="00233758" w:rsidRDefault="00233758" w:rsidP="00233758">
      <w:pPr>
        <w:pStyle w:val="BodyText"/>
        <w:spacing w:before="90" w:line="280" w:lineRule="auto"/>
        <w:ind w:left="100"/>
        <w:jc w:val="both"/>
      </w:pPr>
      <w:r>
        <w:t>Findings: The hollow structure in the sulfur microspheres were obtained by adding MWCNT during the formation of sulfur. MnO</w:t>
      </w:r>
      <w:r w:rsidRPr="00960613">
        <w:rPr>
          <w:vertAlign w:val="subscript"/>
        </w:rPr>
        <w:t>2</w:t>
      </w:r>
      <w:r>
        <w:t xml:space="preserve"> shells were easily created by one-step oxidation. The hollow structure provides space for the expansion of sulfur during the charge/discharge, resulting in a better cycling stability.</w:t>
      </w:r>
    </w:p>
    <w:p w14:paraId="511B8042" w14:textId="77777777" w:rsidR="000E593A" w:rsidRDefault="000E593A" w:rsidP="008C2A23">
      <w:pPr>
        <w:spacing w:line="204" w:lineRule="exact"/>
        <w:rPr>
          <w:rFonts w:ascii="Arial"/>
          <w:b/>
          <w:color w:val="BF5A14"/>
          <w:sz w:val="20"/>
        </w:rPr>
      </w:pPr>
    </w:p>
    <w:p w14:paraId="5B1A5E5D" w14:textId="7B56EEFE" w:rsidR="00FD4A73" w:rsidRPr="008C2A23" w:rsidRDefault="00FD4A73" w:rsidP="008C2A23">
      <w:pPr>
        <w:spacing w:line="204" w:lineRule="exact"/>
        <w:rPr>
          <w:rFonts w:ascii="Arial"/>
          <w:b/>
          <w:color w:val="BF5A14"/>
          <w:sz w:val="20"/>
        </w:rPr>
      </w:pPr>
      <w:r w:rsidRPr="008C2A23">
        <w:rPr>
          <w:rFonts w:ascii="Arial"/>
          <w:b/>
          <w:color w:val="BF5A14"/>
          <w:sz w:val="20"/>
        </w:rPr>
        <w:t>Acknowledgment</w:t>
      </w:r>
    </w:p>
    <w:p w14:paraId="0ECDA3BA" w14:textId="5061A866" w:rsidR="00233758" w:rsidRPr="00FD4A73" w:rsidRDefault="00FD4A73" w:rsidP="00233758">
      <w:pPr>
        <w:pStyle w:val="BodyText"/>
        <w:spacing w:before="90" w:line="280" w:lineRule="auto"/>
        <w:ind w:left="100"/>
        <w:jc w:val="both"/>
        <w:rPr>
          <w:rFonts w:eastAsiaTheme="minorEastAsia" w:hint="eastAsia"/>
          <w:lang w:eastAsia="zh-CN"/>
        </w:rPr>
      </w:pPr>
      <w:r w:rsidRPr="00FD4A73">
        <w:rPr>
          <w:rFonts w:eastAsiaTheme="minorEastAsia"/>
          <w:lang w:eastAsia="zh-CN"/>
        </w:rPr>
        <w:t xml:space="preserve">This work was supported by </w:t>
      </w:r>
      <w:r>
        <w:rPr>
          <w:rFonts w:eastAsiaTheme="minorEastAsia"/>
          <w:lang w:eastAsia="zh-CN"/>
        </w:rPr>
        <w:t>the</w:t>
      </w:r>
      <w:r w:rsidR="008C2A23">
        <w:rPr>
          <w:rFonts w:eastAsiaTheme="minorEastAsia"/>
          <w:lang w:eastAsia="zh-CN"/>
        </w:rPr>
        <w:t xml:space="preserve"> project of</w:t>
      </w:r>
      <w:r>
        <w:rPr>
          <w:rFonts w:eastAsiaTheme="minorEastAsia"/>
          <w:lang w:eastAsia="zh-CN"/>
        </w:rPr>
        <w:t xml:space="preserve"> OP VVV </w:t>
      </w:r>
      <w:r w:rsidR="008C2A23">
        <w:rPr>
          <w:rFonts w:eastAsiaTheme="minorEastAsia"/>
          <w:lang w:eastAsia="zh-CN"/>
        </w:rPr>
        <w:t xml:space="preserve">“Development of TBU in Zlin Research and Development Capacities” (HR Award) and </w:t>
      </w:r>
      <w:r w:rsidRPr="00FD4A73">
        <w:rPr>
          <w:rFonts w:eastAsiaTheme="minorEastAsia"/>
          <w:lang w:eastAsia="zh-CN"/>
        </w:rPr>
        <w:t>the Ministry of Education, Youth, and Sports of the Czech Republi</w:t>
      </w:r>
      <w:r>
        <w:rPr>
          <w:rFonts w:eastAsiaTheme="minorEastAsia"/>
          <w:lang w:eastAsia="zh-CN"/>
        </w:rPr>
        <w:t>c</w:t>
      </w:r>
      <w:r w:rsidRPr="00FD4A73">
        <w:rPr>
          <w:rFonts w:eastAsiaTheme="minorEastAsia"/>
          <w:lang w:eastAsia="zh-CN"/>
        </w:rPr>
        <w:t>, NPU Program I (LO1504)</w:t>
      </w:r>
      <w:r>
        <w:rPr>
          <w:rFonts w:eastAsiaTheme="minorEastAsia" w:hint="eastAsia"/>
          <w:lang w:eastAsia="zh-CN"/>
        </w:rPr>
        <w:t>.</w:t>
      </w:r>
    </w:p>
    <w:p w14:paraId="5F674CED" w14:textId="06346731" w:rsidR="00EF451F" w:rsidRDefault="00EF451F">
      <w:pPr>
        <w:pStyle w:val="Heading3"/>
        <w:spacing w:before="74"/>
        <w:rPr>
          <w:color w:val="BF5A14"/>
        </w:rPr>
      </w:pPr>
    </w:p>
    <w:p w14:paraId="4D7EA70F" w14:textId="271432BA" w:rsidR="00AE3E37" w:rsidRDefault="00A9710C">
      <w:pPr>
        <w:pStyle w:val="Heading3"/>
        <w:spacing w:before="74"/>
      </w:pPr>
      <w:bookmarkStart w:id="1" w:name="_GoBack"/>
      <w:bookmarkEnd w:id="1"/>
      <w:r>
        <w:rPr>
          <w:color w:val="BF5A14"/>
        </w:rPr>
        <w:t>Image</w:t>
      </w:r>
      <w:r w:rsidR="00932F14">
        <w:rPr>
          <w:color w:val="BF5A14"/>
        </w:rPr>
        <w:t xml:space="preserve"> </w:t>
      </w:r>
    </w:p>
    <w:p w14:paraId="0EDBB634" w14:textId="36CE9504" w:rsidR="00AE3E37" w:rsidRDefault="00233758" w:rsidP="00233758">
      <w:pPr>
        <w:pStyle w:val="BodyText"/>
        <w:spacing w:before="2"/>
        <w:jc w:val="center"/>
        <w:rPr>
          <w:rFonts w:ascii="Arial"/>
          <w:b/>
          <w:sz w:val="16"/>
        </w:rPr>
      </w:pPr>
      <w:r>
        <w:rPr>
          <w:noProof/>
          <w:lang w:val="en-IN" w:eastAsia="en-IN"/>
        </w:rPr>
        <w:drawing>
          <wp:inline distT="0" distB="0" distL="0" distR="0" wp14:anchorId="5561875B" wp14:editId="19F73D41">
            <wp:extent cx="2420303" cy="18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788" t="7665" r="8610"/>
                    <a:stretch/>
                  </pic:blipFill>
                  <pic:spPr bwMode="auto">
                    <a:xfrm>
                      <a:off x="0" y="0"/>
                      <a:ext cx="2420303" cy="1800000"/>
                    </a:xfrm>
                    <a:prstGeom prst="rect">
                      <a:avLst/>
                    </a:prstGeom>
                    <a:noFill/>
                    <a:ln>
                      <a:noFill/>
                    </a:ln>
                    <a:extLst>
                      <a:ext uri="{53640926-AAD7-44D8-BBD7-CCE9431645EC}">
                        <a14:shadowObscured xmlns:a14="http://schemas.microsoft.com/office/drawing/2010/main"/>
                      </a:ext>
                    </a:extLst>
                  </pic:spPr>
                </pic:pic>
              </a:graphicData>
            </a:graphic>
          </wp:inline>
        </w:drawing>
      </w:r>
      <w:r w:rsidR="009D7B5D">
        <w:rPr>
          <w:rFonts w:ascii="Arial"/>
          <w:b/>
          <w:sz w:val="16"/>
        </w:rPr>
        <w:tab/>
      </w:r>
    </w:p>
    <w:p w14:paraId="6517E891" w14:textId="77777777" w:rsidR="00233758" w:rsidRDefault="00233758" w:rsidP="00233758">
      <w:pPr>
        <w:pStyle w:val="BodyText"/>
        <w:spacing w:before="2"/>
        <w:rPr>
          <w:rFonts w:asciiTheme="majorHAnsi" w:hAnsiTheme="majorHAnsi" w:cs="Times New Roman"/>
          <w:bCs/>
          <w:noProof/>
          <w:sz w:val="20"/>
        </w:rPr>
      </w:pPr>
      <w:r w:rsidRPr="008B40C5">
        <w:rPr>
          <w:rFonts w:asciiTheme="majorHAnsi" w:hAnsiTheme="majorHAnsi" w:cs="Times New Roman"/>
          <w:b/>
          <w:noProof/>
          <w:sz w:val="20"/>
        </w:rPr>
        <w:t>F</w:t>
      </w:r>
      <w:r w:rsidRPr="008B40C5">
        <w:rPr>
          <w:rFonts w:asciiTheme="majorHAnsi" w:eastAsiaTheme="minorEastAsia" w:hAnsiTheme="majorHAnsi" w:cs="Times New Roman"/>
          <w:b/>
          <w:noProof/>
          <w:sz w:val="20"/>
          <w:lang w:eastAsia="zh-CN"/>
        </w:rPr>
        <w:t>igure</w:t>
      </w:r>
      <w:r w:rsidRPr="008B40C5">
        <w:rPr>
          <w:rFonts w:asciiTheme="majorHAnsi" w:hAnsiTheme="majorHAnsi" w:cs="Times New Roman"/>
          <w:b/>
          <w:noProof/>
          <w:sz w:val="20"/>
        </w:rPr>
        <w:t xml:space="preserve"> 1</w:t>
      </w:r>
      <w:r w:rsidRPr="008B40C5">
        <w:rPr>
          <w:rFonts w:asciiTheme="majorHAnsi" w:hAnsiTheme="majorHAnsi" w:cs="Times New Roman"/>
          <w:bCs/>
          <w:noProof/>
          <w:sz w:val="20"/>
        </w:rPr>
        <w:t>: Voltage profiles of MnO</w:t>
      </w:r>
      <w:r w:rsidRPr="008B40C5">
        <w:rPr>
          <w:rFonts w:asciiTheme="majorHAnsi" w:hAnsiTheme="majorHAnsi" w:cs="Times New Roman"/>
          <w:bCs/>
          <w:noProof/>
          <w:sz w:val="20"/>
          <w:vertAlign w:val="subscript"/>
        </w:rPr>
        <w:t>2</w:t>
      </w:r>
      <w:r w:rsidRPr="008B40C5">
        <w:rPr>
          <w:rFonts w:asciiTheme="majorHAnsi" w:hAnsiTheme="majorHAnsi" w:cs="Times New Roman"/>
          <w:bCs/>
          <w:noProof/>
          <w:sz w:val="20"/>
        </w:rPr>
        <w:t xml:space="preserve"> wrapped hollow sulfur particles at different current rates.</w:t>
      </w:r>
    </w:p>
    <w:p w14:paraId="1DE9B4DF" w14:textId="00959C6B" w:rsidR="005973B9" w:rsidRDefault="005973B9" w:rsidP="005973B9">
      <w:pPr>
        <w:spacing w:line="204" w:lineRule="exact"/>
        <w:rPr>
          <w:rFonts w:ascii="Arial"/>
          <w:b/>
          <w:color w:val="BF5A14"/>
          <w:sz w:val="20"/>
        </w:rPr>
      </w:pPr>
      <w:r>
        <w:rPr>
          <w:rFonts w:ascii="Arial"/>
          <w:b/>
          <w:color w:val="BF5A14"/>
          <w:sz w:val="20"/>
        </w:rPr>
        <w:br/>
        <w:t xml:space="preserve">Recent Publications </w:t>
      </w:r>
    </w:p>
    <w:p w14:paraId="077F500D" w14:textId="372D13C7" w:rsidR="00233758" w:rsidRPr="00F57C7C" w:rsidRDefault="00233758" w:rsidP="00233758">
      <w:pPr>
        <w:pStyle w:val="ListParagraph"/>
        <w:numPr>
          <w:ilvl w:val="0"/>
          <w:numId w:val="3"/>
        </w:numPr>
        <w:tabs>
          <w:tab w:val="left" w:pos="384"/>
        </w:tabs>
        <w:spacing w:before="0" w:line="216" w:lineRule="exact"/>
        <w:ind w:left="380" w:right="136"/>
        <w:rPr>
          <w:sz w:val="18"/>
        </w:rPr>
      </w:pPr>
      <w:r w:rsidRPr="00F57C7C">
        <w:rPr>
          <w:b/>
          <w:bCs/>
          <w:sz w:val="18"/>
        </w:rPr>
        <w:t>Fei, H.</w:t>
      </w:r>
      <w:r w:rsidRPr="00F57C7C">
        <w:rPr>
          <w:sz w:val="18"/>
        </w:rPr>
        <w:t>; Saha, N.; Kazantseva, N.; Moucka, R.; Cheng, Q.; Saha, P.</w:t>
      </w:r>
      <w:r>
        <w:rPr>
          <w:sz w:val="18"/>
        </w:rPr>
        <w:t xml:space="preserve"> (2017)</w:t>
      </w:r>
      <w:r w:rsidRPr="00F57C7C">
        <w:rPr>
          <w:sz w:val="18"/>
        </w:rPr>
        <w:t xml:space="preserve"> A highly flexible supercapacitor based on MnO</w:t>
      </w:r>
      <w:r w:rsidRPr="000E593A">
        <w:rPr>
          <w:sz w:val="18"/>
          <w:vertAlign w:val="subscript"/>
        </w:rPr>
        <w:t>2</w:t>
      </w:r>
      <w:r w:rsidRPr="00F57C7C">
        <w:rPr>
          <w:sz w:val="18"/>
        </w:rPr>
        <w:t xml:space="preserve">/RGO nanosheets and bacterial cellulose-filled gel electrolyte. Materials, 10 (11), 1251. </w:t>
      </w:r>
    </w:p>
    <w:p w14:paraId="3A2EC7E2" w14:textId="77777777" w:rsidR="00233758" w:rsidRPr="00F57C7C" w:rsidRDefault="00233758" w:rsidP="00233758">
      <w:pPr>
        <w:pStyle w:val="ListParagraph"/>
        <w:numPr>
          <w:ilvl w:val="0"/>
          <w:numId w:val="3"/>
        </w:numPr>
        <w:tabs>
          <w:tab w:val="left" w:pos="384"/>
        </w:tabs>
        <w:spacing w:before="0" w:line="216" w:lineRule="exact"/>
        <w:ind w:left="380" w:right="136"/>
        <w:rPr>
          <w:sz w:val="18"/>
        </w:rPr>
      </w:pPr>
      <w:r w:rsidRPr="00F57C7C">
        <w:rPr>
          <w:b/>
          <w:bCs/>
          <w:sz w:val="18"/>
        </w:rPr>
        <w:t>Fei, H.</w:t>
      </w:r>
      <w:r w:rsidRPr="00F57C7C">
        <w:rPr>
          <w:sz w:val="18"/>
        </w:rPr>
        <w:t>; Saha N.; Kazantseva N.; Babkova T.; Machovsky M.; Wang G.; Bao H.; Saha P.</w:t>
      </w:r>
      <w:r>
        <w:rPr>
          <w:sz w:val="18"/>
        </w:rPr>
        <w:t xml:space="preserve"> (2017)</w:t>
      </w:r>
      <w:r w:rsidRPr="00F57C7C">
        <w:rPr>
          <w:sz w:val="18"/>
        </w:rPr>
        <w:t xml:space="preserve"> Polyaniline/reduced graphene oxide hydrogel film with attached graphite current collector for flexible supercapacitors. Journal of Materials Science: Materials in Electronics </w:t>
      </w:r>
    </w:p>
    <w:p w14:paraId="2FB6F5AE" w14:textId="77777777" w:rsidR="00233758" w:rsidRPr="00F57C7C" w:rsidRDefault="00233758" w:rsidP="00233758">
      <w:pPr>
        <w:pStyle w:val="ListParagraph"/>
        <w:numPr>
          <w:ilvl w:val="0"/>
          <w:numId w:val="3"/>
        </w:numPr>
        <w:tabs>
          <w:tab w:val="left" w:pos="384"/>
        </w:tabs>
        <w:spacing w:before="0" w:line="216" w:lineRule="exact"/>
        <w:ind w:left="380" w:right="136"/>
        <w:rPr>
          <w:sz w:val="18"/>
        </w:rPr>
      </w:pPr>
      <w:r w:rsidRPr="00F57C7C">
        <w:rPr>
          <w:b/>
          <w:bCs/>
          <w:sz w:val="18"/>
        </w:rPr>
        <w:t>Fei, H.</w:t>
      </w:r>
      <w:r w:rsidRPr="00F57C7C">
        <w:rPr>
          <w:sz w:val="18"/>
        </w:rPr>
        <w:t>; Yang, C.; Bao, H.; Wang, G.</w:t>
      </w:r>
      <w:r>
        <w:rPr>
          <w:sz w:val="18"/>
        </w:rPr>
        <w:t xml:space="preserve"> (2014)</w:t>
      </w:r>
      <w:r w:rsidRPr="00F57C7C">
        <w:rPr>
          <w:sz w:val="18"/>
        </w:rPr>
        <w:t xml:space="preserve"> Flexible all-solid-state supercapacitors based on graphene/carbon black nanoparticle film electrodes and cross-linked poly(vinyl alcohol)–H</w:t>
      </w:r>
      <w:r w:rsidRPr="00F57C7C">
        <w:rPr>
          <w:sz w:val="18"/>
          <w:vertAlign w:val="subscript"/>
        </w:rPr>
        <w:t>2</w:t>
      </w:r>
      <w:r w:rsidRPr="00F57C7C">
        <w:rPr>
          <w:sz w:val="18"/>
        </w:rPr>
        <w:t>SO</w:t>
      </w:r>
      <w:r w:rsidRPr="00F57C7C">
        <w:rPr>
          <w:sz w:val="18"/>
          <w:vertAlign w:val="subscript"/>
        </w:rPr>
        <w:t>4</w:t>
      </w:r>
      <w:r w:rsidRPr="00F57C7C">
        <w:rPr>
          <w:sz w:val="18"/>
        </w:rPr>
        <w:t xml:space="preserve"> porous gel electrolytes. Journal of Power Source</w:t>
      </w:r>
      <w:r>
        <w:rPr>
          <w:sz w:val="18"/>
        </w:rPr>
        <w:t>s</w:t>
      </w:r>
      <w:r w:rsidRPr="00F57C7C">
        <w:rPr>
          <w:sz w:val="18"/>
        </w:rPr>
        <w:t>, 266, 488-495.</w:t>
      </w:r>
    </w:p>
    <w:p w14:paraId="1D47278B" w14:textId="77777777" w:rsidR="00233758" w:rsidRDefault="00233758" w:rsidP="00233758">
      <w:pPr>
        <w:pStyle w:val="ListParagraph"/>
        <w:numPr>
          <w:ilvl w:val="0"/>
          <w:numId w:val="3"/>
        </w:numPr>
        <w:tabs>
          <w:tab w:val="left" w:pos="384"/>
        </w:tabs>
        <w:spacing w:before="0" w:line="216" w:lineRule="exact"/>
        <w:ind w:left="380" w:right="136"/>
        <w:rPr>
          <w:sz w:val="18"/>
        </w:rPr>
      </w:pPr>
      <w:r w:rsidRPr="00F57C7C">
        <w:rPr>
          <w:sz w:val="18"/>
        </w:rPr>
        <w:t>Babkova, T. A.;</w:t>
      </w:r>
      <w:r w:rsidRPr="00F57C7C">
        <w:rPr>
          <w:b/>
          <w:bCs/>
          <w:sz w:val="18"/>
        </w:rPr>
        <w:t xml:space="preserve"> Fei, H.</w:t>
      </w:r>
      <w:r w:rsidRPr="00F57C7C">
        <w:rPr>
          <w:sz w:val="18"/>
        </w:rPr>
        <w:t>; Kazantseva, N. E.; Sapurina, I. Y.; Saha, P.</w:t>
      </w:r>
      <w:r>
        <w:rPr>
          <w:sz w:val="18"/>
        </w:rPr>
        <w:t xml:space="preserve"> (2018) </w:t>
      </w:r>
      <w:r w:rsidRPr="00F57C7C">
        <w:rPr>
          <w:sz w:val="18"/>
        </w:rPr>
        <w:t>Enhancing the supercapacitor performance of flexible MnOx</w:t>
      </w:r>
      <w:r>
        <w:rPr>
          <w:sz w:val="18"/>
        </w:rPr>
        <w:t xml:space="preserve"> </w:t>
      </w:r>
      <w:r w:rsidRPr="00F57C7C">
        <w:rPr>
          <w:sz w:val="18"/>
        </w:rPr>
        <w:t>Carbon cloth electrodes by Pd-decoration. Electrochimica Acta, 272, 1-10</w:t>
      </w:r>
      <w:r>
        <w:rPr>
          <w:sz w:val="18"/>
        </w:rPr>
        <w:t>.</w:t>
      </w:r>
    </w:p>
    <w:p w14:paraId="430CDFAD" w14:textId="30B4A5BE" w:rsidR="005973B9" w:rsidRPr="00246B56" w:rsidRDefault="00233758" w:rsidP="00233758">
      <w:pPr>
        <w:pStyle w:val="ListParagraph"/>
        <w:numPr>
          <w:ilvl w:val="0"/>
          <w:numId w:val="3"/>
        </w:numPr>
        <w:tabs>
          <w:tab w:val="left" w:pos="384"/>
        </w:tabs>
        <w:spacing w:before="0" w:line="216" w:lineRule="exact"/>
        <w:ind w:left="380" w:right="136"/>
        <w:rPr>
          <w:sz w:val="18"/>
          <w:szCs w:val="18"/>
        </w:rPr>
      </w:pPr>
      <w:r w:rsidRPr="00246B56">
        <w:rPr>
          <w:sz w:val="18"/>
          <w:szCs w:val="18"/>
        </w:rPr>
        <w:t xml:space="preserve">Yang, C.; Shen, J.; Wang, C.; </w:t>
      </w:r>
      <w:r w:rsidRPr="00246B56">
        <w:rPr>
          <w:b/>
          <w:bCs/>
          <w:sz w:val="18"/>
          <w:szCs w:val="18"/>
        </w:rPr>
        <w:t>Fei, H.</w:t>
      </w:r>
      <w:r w:rsidRPr="00246B56">
        <w:rPr>
          <w:sz w:val="18"/>
          <w:szCs w:val="18"/>
        </w:rPr>
        <w:t>; Bao, H.; Wang, G. (2014) All-solid-state asymmetric supercapacitor based on reduced graphene oxide/carbon nanotube and carbon fiber paper/polypyrrole electrodes. Journal of Materials Chemistry A, 2 (5),1458-1464.</w:t>
      </w:r>
    </w:p>
    <w:p w14:paraId="3DD593D6" w14:textId="5E0E5CF2"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5955CC5" w14:textId="7BDF171C" w:rsidR="00AE3E37" w:rsidRDefault="00EF451F">
      <w:pPr>
        <w:pStyle w:val="BodyText"/>
        <w:rPr>
          <w:rFonts w:ascii="Calibri"/>
          <w:sz w:val="20"/>
        </w:rPr>
      </w:pPr>
      <w:r>
        <w:rPr>
          <w:noProof/>
        </w:rPr>
        <w:drawing>
          <wp:anchor distT="0" distB="0" distL="114300" distR="114300" simplePos="0" relativeHeight="251665920" behindDoc="0" locked="0" layoutInCell="1" allowOverlap="1" wp14:anchorId="37F2EDDD" wp14:editId="7EBF00FB">
            <wp:simplePos x="0" y="0"/>
            <wp:positionH relativeFrom="column">
              <wp:posOffset>321310</wp:posOffset>
            </wp:positionH>
            <wp:positionV relativeFrom="paragraph">
              <wp:posOffset>154468</wp:posOffset>
            </wp:positionV>
            <wp:extent cx="963930" cy="1184275"/>
            <wp:effectExtent l="0" t="0" r="762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0526"/>
                    <a:stretch/>
                  </pic:blipFill>
                  <pic:spPr bwMode="auto">
                    <a:xfrm>
                      <a:off x="0" y="0"/>
                      <a:ext cx="963930" cy="1184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14DE37" w14:textId="47289B6A"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A71AEF7" wp14:editId="72BA452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3CD86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19DA5FE" w14:textId="58A22D75" w:rsidR="00AE3E37" w:rsidRDefault="00A9710C" w:rsidP="00EF451F">
      <w:pPr>
        <w:spacing w:before="92"/>
        <w:ind w:right="4234" w:firstLineChars="1030" w:firstLine="2266"/>
        <w:rPr>
          <w:rFonts w:ascii="Arial"/>
          <w:color w:val="BF5A14"/>
        </w:rPr>
      </w:pPr>
      <w:r>
        <w:rPr>
          <w:rFonts w:ascii="Arial"/>
          <w:color w:val="BF5A14"/>
        </w:rPr>
        <w:t>Biography</w:t>
      </w:r>
      <w:r w:rsidR="00404E5B">
        <w:rPr>
          <w:rFonts w:ascii="Arial"/>
          <w:color w:val="BF5A14"/>
        </w:rPr>
        <w:t xml:space="preserve"> </w:t>
      </w:r>
    </w:p>
    <w:p w14:paraId="33C3A983" w14:textId="77777777" w:rsidR="00EF451F" w:rsidRDefault="00EF451F" w:rsidP="00EF451F">
      <w:pPr>
        <w:spacing w:before="92"/>
        <w:ind w:right="4234" w:firstLineChars="1030" w:firstLine="2266"/>
        <w:rPr>
          <w:rFonts w:ascii="Arial"/>
        </w:rPr>
      </w:pPr>
    </w:p>
    <w:p w14:paraId="7EC3826B" w14:textId="5EE6F4AC" w:rsidR="00EF451F" w:rsidRDefault="00EF451F" w:rsidP="00EF451F">
      <w:pPr>
        <w:spacing w:before="41" w:line="154" w:lineRule="exact"/>
        <w:ind w:leftChars="1030" w:left="2266" w:right="231"/>
        <w:jc w:val="both"/>
        <w:rPr>
          <w:rFonts w:ascii="Arial"/>
          <w:sz w:val="14"/>
        </w:rPr>
      </w:pPr>
      <w:r>
        <w:rPr>
          <w:rFonts w:ascii="Arial"/>
          <w:sz w:val="14"/>
        </w:rPr>
        <w:t>Dr. Haojie Fei</w:t>
      </w:r>
      <w:r>
        <w:rPr>
          <w:rFonts w:ascii="Arial"/>
          <w:sz w:val="14"/>
        </w:rPr>
        <w:t>’</w:t>
      </w:r>
      <w:r>
        <w:rPr>
          <w:rFonts w:ascii="Arial"/>
          <w:sz w:val="14"/>
        </w:rPr>
        <w:t>s research interests focus on the electrochemical energy storage devices, especially on sueprcapacitores and their flexibilization.  Recently, a new research direction on lithium sulfur batteries are carried out in UTB energy storage team, which is a promising candidate for advanced batteries in the future. The team has prepared several cathode materials for lithium sulfur batteries based on reduced graphene oxide, Mxene, MOF and other materials.</w:t>
      </w:r>
    </w:p>
    <w:p w14:paraId="27F5DC17" w14:textId="2C7C3AE9" w:rsidR="00AE3E37" w:rsidRDefault="00AE3E37" w:rsidP="00EF451F">
      <w:pPr>
        <w:spacing w:before="41" w:line="154" w:lineRule="exact"/>
        <w:ind w:leftChars="1030" w:left="2266" w:right="231"/>
        <w:jc w:val="both"/>
        <w:rPr>
          <w:rFonts w:ascii="Arial"/>
          <w:sz w:val="14"/>
        </w:rPr>
      </w:pPr>
    </w:p>
    <w:p w14:paraId="1E091787" w14:textId="67D3671A" w:rsidR="00AE3E37" w:rsidRDefault="00A9710C">
      <w:pPr>
        <w:spacing w:before="62"/>
        <w:ind w:left="4217" w:right="4235"/>
        <w:jc w:val="center"/>
        <w:rPr>
          <w:rFonts w:ascii="Arial"/>
          <w:sz w:val="14"/>
        </w:rPr>
      </w:pPr>
      <w:r>
        <w:rPr>
          <w:rFonts w:ascii="Arial"/>
          <w:sz w:val="14"/>
        </w:rPr>
        <w:t>Email</w:t>
      </w:r>
      <w:r w:rsidR="00EF451F">
        <w:rPr>
          <w:rFonts w:ascii="Arial"/>
          <w:sz w:val="14"/>
        </w:rPr>
        <w:t>: haojie@cps.utb.cz</w:t>
      </w:r>
    </w:p>
    <w:p w14:paraId="5DD86038" w14:textId="7DF90DEB"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251650560" behindDoc="0" locked="0" layoutInCell="1" allowOverlap="1" wp14:anchorId="5721CA93" wp14:editId="466553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D309C" id="Line 3" o:spid="_x0000_s1026" style="position:absolute;left:0;text-align:lef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0C880A2" w14:textId="77777777" w:rsidR="00AE3E37" w:rsidRDefault="00AE3E37">
      <w:pPr>
        <w:pStyle w:val="BodyText"/>
        <w:spacing w:before="7"/>
        <w:rPr>
          <w:rFonts w:ascii="Arial"/>
          <w:sz w:val="29"/>
        </w:rPr>
      </w:pPr>
    </w:p>
    <w:p w14:paraId="0304E1CA" w14:textId="1851A192" w:rsidR="00AE3E37" w:rsidRPr="00EF451F" w:rsidRDefault="00AE3E37" w:rsidP="000E593A">
      <w:pPr>
        <w:spacing w:before="39"/>
        <w:rPr>
          <w:rFonts w:ascii="Minion Pro"/>
          <w:b/>
          <w:sz w:val="20"/>
        </w:rPr>
        <w:sectPr w:rsidR="00AE3E37" w:rsidRPr="00EF451F">
          <w:type w:val="continuous"/>
          <w:pgSz w:w="11910" w:h="16840"/>
          <w:pgMar w:top="1740" w:right="600" w:bottom="840" w:left="620" w:header="720" w:footer="720" w:gutter="0"/>
          <w:cols w:space="720"/>
        </w:sectPr>
      </w:pPr>
    </w:p>
    <w:p w14:paraId="6D56B508" w14:textId="77777777" w:rsidR="00AE3E37" w:rsidRDefault="00AE3E37" w:rsidP="000E593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11BFC" w14:textId="77777777" w:rsidR="009B4A1C" w:rsidRDefault="009B4A1C">
      <w:r>
        <w:separator/>
      </w:r>
    </w:p>
  </w:endnote>
  <w:endnote w:type="continuationSeparator" w:id="0">
    <w:p w14:paraId="56D0A870" w14:textId="77777777" w:rsidR="009B4A1C" w:rsidRDefault="009B4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D4D3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F6DD7A6" wp14:editId="33F6EDC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8390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20D2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6DD7A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B28390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20D2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30D7391" wp14:editId="56174DF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AAEC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3028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D739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249AAEC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3028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7166008" wp14:editId="106EFD4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B163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8145E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6600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DAB163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8145E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E222C9" w14:textId="77777777" w:rsidR="009B4A1C" w:rsidRDefault="009B4A1C">
      <w:r>
        <w:separator/>
      </w:r>
    </w:p>
  </w:footnote>
  <w:footnote w:type="continuationSeparator" w:id="0">
    <w:p w14:paraId="0C0693A7" w14:textId="77777777" w:rsidR="009B4A1C" w:rsidRDefault="009B4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4942C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B83FE84" wp14:editId="01C7EA0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8707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3FE8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CF8707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D6A6489" wp14:editId="259FD2F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B502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45E5C2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A648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F9B502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45E5C2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2499"/>
    <w:rsid w:val="00027887"/>
    <w:rsid w:val="00035522"/>
    <w:rsid w:val="000552E0"/>
    <w:rsid w:val="000E2911"/>
    <w:rsid w:val="000E2972"/>
    <w:rsid w:val="000E593A"/>
    <w:rsid w:val="001263DF"/>
    <w:rsid w:val="0022650B"/>
    <w:rsid w:val="00233758"/>
    <w:rsid w:val="00246911"/>
    <w:rsid w:val="00246B56"/>
    <w:rsid w:val="002510B6"/>
    <w:rsid w:val="00292ED9"/>
    <w:rsid w:val="00404E5B"/>
    <w:rsid w:val="00414F7B"/>
    <w:rsid w:val="004355DC"/>
    <w:rsid w:val="0046741F"/>
    <w:rsid w:val="004749B4"/>
    <w:rsid w:val="00494130"/>
    <w:rsid w:val="004F3523"/>
    <w:rsid w:val="005973B9"/>
    <w:rsid w:val="005B3A56"/>
    <w:rsid w:val="006060CE"/>
    <w:rsid w:val="0063497F"/>
    <w:rsid w:val="00681486"/>
    <w:rsid w:val="00725FFB"/>
    <w:rsid w:val="00873DF0"/>
    <w:rsid w:val="008756E6"/>
    <w:rsid w:val="00894D23"/>
    <w:rsid w:val="008C2A23"/>
    <w:rsid w:val="00932F14"/>
    <w:rsid w:val="009B2D44"/>
    <w:rsid w:val="009B4A1C"/>
    <w:rsid w:val="009D7B5D"/>
    <w:rsid w:val="00A07E82"/>
    <w:rsid w:val="00A9710C"/>
    <w:rsid w:val="00AE3E37"/>
    <w:rsid w:val="00B21A57"/>
    <w:rsid w:val="00BE773B"/>
    <w:rsid w:val="00C33602"/>
    <w:rsid w:val="00CD6F55"/>
    <w:rsid w:val="00DE3104"/>
    <w:rsid w:val="00EF451F"/>
    <w:rsid w:val="00F72EEA"/>
    <w:rsid w:val="00F84CAE"/>
    <w:rsid w:val="00FD4A7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866C66"/>
  <w15:docId w15:val="{A4866D81-3F3B-4B08-BE9E-18D18939A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233758"/>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1232</TotalTime>
  <Pages>1</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HAOJIE FEI</cp:lastModifiedBy>
  <cp:revision>5</cp:revision>
  <dcterms:created xsi:type="dcterms:W3CDTF">2020-01-30T16:25:00Z</dcterms:created>
  <dcterms:modified xsi:type="dcterms:W3CDTF">2020-02-24T10:27:00Z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