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B61" w:rsidRDefault="00433B61" w:rsidP="00433B61">
      <w:pPr>
        <w:pStyle w:val="papertitle"/>
        <w:rPr>
          <w:rFonts w:eastAsia="MS Mincho"/>
        </w:rPr>
      </w:pPr>
      <w:r>
        <w:t>Thermal characterization of phase change material for energy storage application</w:t>
      </w:r>
    </w:p>
    <w:p w:rsidR="00433B61" w:rsidRDefault="00433B61" w:rsidP="00433B61">
      <w:pPr>
        <w:pStyle w:val="Affiliation"/>
        <w:rPr>
          <w:rFonts w:ascii="Arial"/>
        </w:rPr>
      </w:pPr>
      <w:r>
        <w:rPr>
          <w:rFonts w:ascii="Arial"/>
        </w:rPr>
        <w:t>Gregory LARGILLER</w:t>
      </w:r>
    </w:p>
    <w:p w:rsidR="00433B61" w:rsidRDefault="00433B61" w:rsidP="00433B61">
      <w:pPr>
        <w:pStyle w:val="Affiliation"/>
        <w:rPr>
          <w:rFonts w:eastAsia="MS Mincho"/>
        </w:rPr>
      </w:pPr>
      <w:r>
        <w:rPr>
          <w:rFonts w:eastAsia="MS Mincho"/>
        </w:rPr>
        <w:t xml:space="preserve">Univ. Grenoble </w:t>
      </w:r>
      <w:proofErr w:type="spellStart"/>
      <w:r>
        <w:rPr>
          <w:rFonts w:eastAsia="MS Mincho"/>
        </w:rPr>
        <w:t>Alpes</w:t>
      </w:r>
      <w:proofErr w:type="spellEnd"/>
      <w:r>
        <w:rPr>
          <w:rFonts w:eastAsia="MS Mincho"/>
        </w:rPr>
        <w:t xml:space="preserve"> </w:t>
      </w:r>
    </w:p>
    <w:p w:rsidR="00433B61" w:rsidRDefault="00433B61" w:rsidP="00433B61">
      <w:pPr>
        <w:pStyle w:val="Affiliation"/>
        <w:rPr>
          <w:rFonts w:eastAsia="MS Mincho"/>
        </w:rPr>
      </w:pPr>
      <w:r>
        <w:rPr>
          <w:rFonts w:eastAsia="MS Mincho"/>
        </w:rPr>
        <w:t>CEA, LITEN, DTBH, LST</w:t>
      </w:r>
    </w:p>
    <w:p w:rsidR="00433B61" w:rsidRDefault="00433B61" w:rsidP="00433B61">
      <w:pPr>
        <w:pStyle w:val="Affiliation"/>
        <w:rPr>
          <w:rFonts w:eastAsia="MS Mincho"/>
        </w:rPr>
      </w:pPr>
      <w:r>
        <w:rPr>
          <w:rFonts w:eastAsia="MS Mincho"/>
        </w:rPr>
        <w:t>Grenoble, France</w:t>
      </w:r>
    </w:p>
    <w:p w:rsidR="005973B9" w:rsidRDefault="00433B61" w:rsidP="00433B61">
      <w:pPr>
        <w:pStyle w:val="Affiliation"/>
        <w:rPr>
          <w:rFonts w:ascii="Arial"/>
        </w:rPr>
      </w:pPr>
      <w:r>
        <w:rPr>
          <w:rFonts w:eastAsia="MS Mincho"/>
        </w:rPr>
        <w:t>Gregory.largiller@cea.fr</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(300 word limit)</w:t>
      </w:r>
      <w:r w:rsidR="00932F14">
        <w:rPr>
          <w:color w:val="BF5A14"/>
        </w:rPr>
        <w:t>*</w:t>
      </w:r>
    </w:p>
    <w:p w:rsidR="003D4F54" w:rsidRPr="00C42B4A" w:rsidRDefault="00433B61" w:rsidP="003D4F54">
      <w:pPr>
        <w:pStyle w:val="Abstract"/>
        <w:ind w:firstLine="0"/>
        <w:rPr>
          <w:bCs w:val="0"/>
        </w:rPr>
      </w:pPr>
      <w:r w:rsidRPr="00433B61">
        <w:rPr>
          <w:b w:val="0"/>
        </w:rPr>
        <w:t>Thermal energy represents half of the primary energy used in Europe and is one of the main contributor of greenhouse gas emission. Integration of renewable thermal energy sources, such as biomass, solar thermal, geothermal or wasted heat is then a major stake for near future. Thermal Energy Storage (TES) is one of the key component that can help the development of renewable thermal energy in domains like urban heating network or industrial processes, allowing to smooth peaks of demand, to manage the balance with the supply and then to minimize the use of fossil energy.</w:t>
      </w:r>
      <w:r>
        <w:rPr>
          <w:b w:val="0"/>
        </w:rPr>
        <w:t xml:space="preserve"> </w:t>
      </w:r>
      <w:r w:rsidRPr="00433B61">
        <w:rPr>
          <w:b w:val="0"/>
        </w:rPr>
        <w:t xml:space="preserve">Most of the TES currently operated in the world </w:t>
      </w:r>
      <w:proofErr w:type="gramStart"/>
      <w:r w:rsidRPr="00433B61">
        <w:rPr>
          <w:b w:val="0"/>
        </w:rPr>
        <w:t>are based</w:t>
      </w:r>
      <w:proofErr w:type="gramEnd"/>
      <w:r w:rsidRPr="00433B61">
        <w:rPr>
          <w:b w:val="0"/>
        </w:rPr>
        <w:t xml:space="preserve"> on sensible heat by increasing and decreasing the temperature of a material such as water, thermal oil, molten salt, rock… The use of Phase Change Materials (PCM) as storage medium enable to reach higher energy density for a large temperature range (i.e. 30°C to 1 000 °C </w:t>
      </w:r>
      <w:r w:rsidRPr="00433B61">
        <w:rPr>
          <w:b w:val="0"/>
        </w:rPr>
        <w:fldChar w:fldCharType="begin"/>
      </w:r>
      <w:r w:rsidRPr="00433B61">
        <w:rPr>
          <w:b w:val="0"/>
        </w:rPr>
        <w:instrText xml:space="preserve"> ADDIN ZOTERO_ITEM CSL_CITATION {"citationID":"a1s18g3to9e","properties":{"formattedCitation":"[1]","plainCitation":"[1]"},"citationItems":[{"id":81,"uris":["http://zotero.org/users/local/x5oe4I4k/items/23HAKD5L"],"uri":["http://zotero.org/users/local/x5oe4I4k/items/23HAKD5L"],"itemData":{"id":81,"type":"article-journal","title":"Review on solid-solid phase change materials for thermal energy storage: Molecular structure and thermal properties","container-title":"Applied Thermal Engineering","page":"1427-1441","volume":"127","source":"ScienceDirect","abstract":"Solid-solid phase change materials (SS-PCMs) for thermal energy storage have received increasing interest because of their high energy-storage density and inherent advantages over solid-liquid counterparts (e.g., leakage free, no need for encapsulation, less phase segregation and smaller volume variation). Four main SS-PCMs for thermal energy storage are reviewed, with a focus on their thermal properties and the relationship between molecular structure, processes involved during phase transition, and thermal properties. This review aims to provide guidance for selecting appropriate SS-PCMs for various applications and tailoring the synthesis of SS-PCMs with desired thermal, physical and mechanical properties. Challenges and opportunities to use of SS-PCMs for thermal storage and other applications are also discussed.","DOI":"10.1016/j.applthermaleng.2017.08.161","ISSN":"1359-4311","shortTitle":"Review on solid-solid phase change materials for thermal energy storage","journalAbbreviation":"Applied Thermal Engineering","author":[{"family":"Fallahi","given":"Ali"},{"family":"Guldentops","given":"Gert"},{"family":"Tao","given":"Mingjiang"},{"family":"Granados-Focil","given":"Sergio"},{"family":"Van Dessel","given":"Steven"}],"issued":{"date-parts":[["2017",12,25]]}}}],"schema":"https://github.com/citation-style-language/schema/raw/master/csl-citation.json"} </w:instrText>
      </w:r>
      <w:r w:rsidRPr="00433B61">
        <w:rPr>
          <w:b w:val="0"/>
        </w:rPr>
        <w:fldChar w:fldCharType="separate"/>
      </w:r>
      <w:r w:rsidRPr="00433B61">
        <w:rPr>
          <w:b w:val="0"/>
        </w:rPr>
        <w:t>[1]</w:t>
      </w:r>
      <w:r w:rsidRPr="00433B61">
        <w:rPr>
          <w:b w:val="0"/>
        </w:rPr>
        <w:fldChar w:fldCharType="end"/>
      </w:r>
      <w:r w:rsidRPr="00433B61">
        <w:rPr>
          <w:b w:val="0"/>
        </w:rPr>
        <w:t>). Current technologies use solid-liquid phase PCM as TES medium and reach energy densities from 100 MJ.m</w:t>
      </w:r>
      <w:r w:rsidRPr="00433B61">
        <w:rPr>
          <w:b w:val="0"/>
          <w:vertAlign w:val="superscript"/>
        </w:rPr>
        <w:t>-3</w:t>
      </w:r>
      <w:r w:rsidRPr="00433B61">
        <w:rPr>
          <w:b w:val="0"/>
        </w:rPr>
        <w:t xml:space="preserve"> for paraffin to 1 000 MJ.m</w:t>
      </w:r>
      <w:r w:rsidRPr="00433B61">
        <w:rPr>
          <w:b w:val="0"/>
          <w:vertAlign w:val="superscript"/>
        </w:rPr>
        <w:t>-3</w:t>
      </w:r>
      <w:r w:rsidRPr="00433B61">
        <w:rPr>
          <w:b w:val="0"/>
        </w:rPr>
        <w:t xml:space="preserve"> for salt hydrates. These systems show some drawbacks like the presence of a liquid phase which may imply leakage, undercooling or large volume variation of about 10 to 20%V/V upon phase transformation </w:t>
      </w:r>
      <w:r w:rsidRPr="00433B61">
        <w:rPr>
          <w:b w:val="0"/>
        </w:rPr>
        <w:fldChar w:fldCharType="begin"/>
      </w:r>
      <w:r w:rsidRPr="00433B61">
        <w:rPr>
          <w:b w:val="0"/>
        </w:rPr>
        <w:instrText xml:space="preserve"> ADDIN ZOTERO_ITEM CSL_CITATION {"citationID":"a2qq4tj8h1m","properties":{"formattedCitation":"[2]","plainCitation":"[2]"},"citationItems":[{"id":102,"uris":["http://zotero.org/users/local/x5oe4I4k/items/XCF9RY2T"],"uri":["http://zotero.org/users/local/x5oe4I4k/items/XCF9RY2T"],"itemData":{"id":102,"type":"article-journal","title":"Materials used as PCM in thermal energy storage in buildings: A review","container-title":"Renewable and Sustainable Energy Reviews","page":"1675-1695","volume":"15","issue":"3","source":"ScienceDirect","abstract":"In recent years the use of thermal energy storage with phase change materials has become a topic with a lot of interest within the research community, but also within architects and engineers. Many publications have appeared, and several books, but the information is disseminated and not very much organised. This paper shows a review of the latest publications on the use of phase change materials (PCM) in buildings. The paper compiles information about the requirements of the use of this technology, classification of materials, materials available and problems and possible solutions on the application of such materials in buildings.","DOI":"10.1016/j.rser.2010.11.018","ISSN":"1364-0321","shortTitle":"Materials used as PCM in thermal energy storage in buildings","journalAbbreviation":"Renewable and Sustainable Energy Reviews","author":[{"family":"Cabeza","given":"L. F."},{"family":"Castell","given":"A."},{"family":"Barreneche","given":"C."},{"family":"Gracia","given":"A.","non-dropping-particle":"de"},{"family":"Fernández","given":"A. I."}],"issued":{"date-parts":[["2011",4,1]]}}}],"schema":"https://github.com/citation-style-language/schema/raw/master/csl-citation.json"} </w:instrText>
      </w:r>
      <w:r w:rsidRPr="00433B61">
        <w:rPr>
          <w:b w:val="0"/>
        </w:rPr>
        <w:fldChar w:fldCharType="separate"/>
      </w:r>
      <w:r w:rsidRPr="00433B61">
        <w:rPr>
          <w:b w:val="0"/>
        </w:rPr>
        <w:t>[2</w:t>
      </w:r>
      <w:r w:rsidR="00C42B4A">
        <w:rPr>
          <w:b w:val="0"/>
        </w:rPr>
        <w:t>-4</w:t>
      </w:r>
      <w:r w:rsidRPr="00433B61">
        <w:rPr>
          <w:b w:val="0"/>
        </w:rPr>
        <w:t>]</w:t>
      </w:r>
      <w:r w:rsidRPr="00433B61">
        <w:rPr>
          <w:b w:val="0"/>
        </w:rPr>
        <w:fldChar w:fldCharType="end"/>
      </w:r>
      <w:r w:rsidRPr="00433B61">
        <w:rPr>
          <w:b w:val="0"/>
        </w:rPr>
        <w:t xml:space="preserve"> which leads to mechanical stresses for the storage vessel. An alternative solution consists in using solid-solid PCM with about 5-10%V/V phase change variation </w:t>
      </w:r>
      <w:r w:rsidRPr="00433B61">
        <w:rPr>
          <w:b w:val="0"/>
        </w:rPr>
        <w:fldChar w:fldCharType="begin"/>
      </w:r>
      <w:r w:rsidRPr="00433B61">
        <w:rPr>
          <w:b w:val="0"/>
        </w:rPr>
        <w:instrText xml:space="preserve"> ADDIN ZOTERO_ITEM CSL_CITATION {"citationID":"a2d41ck6tkn","properties":{"formattedCitation":"[1]","plainCitation":"[1]"},"citationItems":[{"id":81,"uris":["http://zotero.org/users/local/x5oe4I4k/items/23HAKD5L"],"uri":["http://zotero.org/users/local/x5oe4I4k/items/23HAKD5L"],"itemData":{"id":81,"type":"article-journal","title":"Review on solid-solid phase change materials for thermal energy storage: Molecular structure and thermal properties","container-title":"Applied Thermal Engineering","page":"1427-1441","volume":"127","source":"ScienceDirect","abstract":"Solid-solid phase change materials (SS-PCMs) for thermal energy storage have received increasing interest because of their high energy-storage density and inherent advantages over solid-liquid counterparts (e.g., leakage free, no need for encapsulation, less phase segregation and smaller volume variation). Four main SS-PCMs for thermal energy storage are reviewed, with a focus on their thermal properties and the relationship between molecular structure, processes involved during phase transition, and thermal properties. This review aims to provide guidance for selecting appropriate SS-PCMs for various applications and tailoring the synthesis of SS-PCMs with desired thermal, physical and mechanical properties. Challenges and opportunities to use of SS-PCMs for thermal storage and other applications are also discussed.","DOI":"10.1016/j.applthermaleng.2017.08.161","ISSN":"1359-4311","shortTitle":"Review on solid-solid phase change materials for thermal energy storage","journalAbbreviation":"Applied Thermal Engineering","author":[{"family":"Fallahi","given":"Ali"},{"family":"Guldentops","given":"Gert"},{"family":"Tao","given":"Mingjiang"},{"family":"Granados-Focil","given":"Sergio"},{"family":"Van Dessel","given":"Steven"}],"issued":{"date-parts":[["2017",12,25]]}}}],"schema":"https://github.com/citation-style-language/schema/raw/master/csl-citation.json"} </w:instrText>
      </w:r>
      <w:r w:rsidRPr="00433B61">
        <w:rPr>
          <w:b w:val="0"/>
        </w:rPr>
        <w:fldChar w:fldCharType="separate"/>
      </w:r>
      <w:r w:rsidRPr="00433B61">
        <w:rPr>
          <w:b w:val="0"/>
        </w:rPr>
        <w:t>[1</w:t>
      </w:r>
      <w:r w:rsidR="00C42B4A">
        <w:rPr>
          <w:b w:val="0"/>
        </w:rPr>
        <w:t>,5</w:t>
      </w:r>
      <w:r w:rsidRPr="00433B61">
        <w:rPr>
          <w:b w:val="0"/>
        </w:rPr>
        <w:t>]</w:t>
      </w:r>
      <w:r w:rsidRPr="00433B61">
        <w:rPr>
          <w:b w:val="0"/>
        </w:rPr>
        <w:fldChar w:fldCharType="end"/>
      </w:r>
      <w:r w:rsidR="007D0DCC">
        <w:rPr>
          <w:b w:val="0"/>
        </w:rPr>
        <w:t>, the later</w:t>
      </w:r>
      <w:r w:rsidRPr="00433B61">
        <w:rPr>
          <w:b w:val="0"/>
        </w:rPr>
        <w:t xml:space="preserve"> could even be used as structural material of the TES systems</w:t>
      </w:r>
      <w:r w:rsidR="00C42B4A">
        <w:rPr>
          <w:b w:val="0"/>
        </w:rPr>
        <w:t xml:space="preserve"> [6-8]</w:t>
      </w:r>
      <w:r w:rsidRPr="00433B61">
        <w:rPr>
          <w:b w:val="0"/>
        </w:rPr>
        <w:t xml:space="preserve">. This study proposes to investigate and compare the thermal behavior of a classical solid-liquid paraffin </w:t>
      </w:r>
      <w:proofErr w:type="gramStart"/>
      <w:r w:rsidRPr="00433B61">
        <w:rPr>
          <w:b w:val="0"/>
        </w:rPr>
        <w:t>and  solid</w:t>
      </w:r>
      <w:proofErr w:type="gramEnd"/>
      <w:r w:rsidRPr="00433B61">
        <w:rPr>
          <w:b w:val="0"/>
        </w:rPr>
        <w:t xml:space="preserve">-solid PCM. </w:t>
      </w:r>
      <w:r w:rsidR="007D0DCC">
        <w:rPr>
          <w:b w:val="0"/>
        </w:rPr>
        <w:t>M</w:t>
      </w:r>
      <w:r w:rsidRPr="00433B61">
        <w:rPr>
          <w:b w:val="0"/>
        </w:rPr>
        <w:t xml:space="preserve">aterials have </w:t>
      </w:r>
      <w:r w:rsidR="00FA7033">
        <w:rPr>
          <w:b w:val="0"/>
        </w:rPr>
        <w:t>been analyzed by calorimetry,</w:t>
      </w:r>
      <w:r w:rsidRPr="00433B61">
        <w:rPr>
          <w:b w:val="0"/>
        </w:rPr>
        <w:t xml:space="preserve"> </w:t>
      </w:r>
      <w:proofErr w:type="gramStart"/>
      <w:r w:rsidRPr="00433B61">
        <w:rPr>
          <w:b w:val="0"/>
        </w:rPr>
        <w:t>then</w:t>
      </w:r>
      <w:proofErr w:type="gramEnd"/>
      <w:r w:rsidRPr="00433B61">
        <w:rPr>
          <w:b w:val="0"/>
        </w:rPr>
        <w:t xml:space="preserve"> cha</w:t>
      </w:r>
      <w:r w:rsidR="007D0DCC">
        <w:rPr>
          <w:b w:val="0"/>
        </w:rPr>
        <w:t>racterized into a thermal bench composed of two thermal loops and</w:t>
      </w:r>
      <w:r w:rsidRPr="00433B61">
        <w:rPr>
          <w:b w:val="0"/>
        </w:rPr>
        <w:t xml:space="preserve"> a heat exchanger with metallic fins</w:t>
      </w:r>
      <w:r w:rsidR="007D0DCC">
        <w:rPr>
          <w:b w:val="0"/>
        </w:rPr>
        <w:t>.</w:t>
      </w:r>
      <w:r w:rsidRPr="00433B61">
        <w:rPr>
          <w:b w:val="0"/>
        </w:rPr>
        <w:t xml:space="preserve"> Latent heat, energy density and the</w:t>
      </w:r>
      <w:r w:rsidR="007D0DCC">
        <w:rPr>
          <w:b w:val="0"/>
        </w:rPr>
        <w:t xml:space="preserve">rmal conductivity </w:t>
      </w:r>
      <w:proofErr w:type="gramStart"/>
      <w:r w:rsidR="007D0DCC">
        <w:rPr>
          <w:b w:val="0"/>
        </w:rPr>
        <w:t>are compared</w:t>
      </w:r>
      <w:proofErr w:type="gramEnd"/>
      <w:r w:rsidR="007D0DCC">
        <w:rPr>
          <w:b w:val="0"/>
        </w:rPr>
        <w:t>.</w:t>
      </w:r>
    </w:p>
    <w:p w:rsidR="00AE3E37" w:rsidRDefault="00A9710C">
      <w:pPr>
        <w:pStyle w:val="Titre3"/>
        <w:spacing w:before="74"/>
        <w:rPr>
          <w:color w:val="BF5A14"/>
        </w:rPr>
      </w:pPr>
      <w:r>
        <w:rPr>
          <w:b w:val="0"/>
        </w:rPr>
        <w:br w:type="column"/>
      </w:r>
      <w:r>
        <w:rPr>
          <w:color w:val="BF5A14"/>
        </w:rPr>
        <w:t>Image</w:t>
      </w:r>
      <w:r w:rsidR="00932F14">
        <w:rPr>
          <w:color w:val="BF5A14"/>
        </w:rPr>
        <w:t xml:space="preserve"> (If available)</w:t>
      </w:r>
    </w:p>
    <w:p w:rsidR="00AE3E37" w:rsidRDefault="003D4F54" w:rsidP="003D4F54">
      <w:pPr>
        <w:pStyle w:val="Corpsdetexte"/>
        <w:spacing w:before="2"/>
        <w:jc w:val="center"/>
        <w:rPr>
          <w:rFonts w:ascii="Arial"/>
          <w:b/>
          <w:sz w:val="16"/>
        </w:rPr>
      </w:pPr>
      <w:r>
        <w:rPr>
          <w:noProof/>
          <w:lang w:val="fr-FR" w:eastAsia="fr-FR"/>
        </w:rPr>
        <w:drawing>
          <wp:inline distT="0" distB="0" distL="0" distR="0" wp14:anchorId="17A65856" wp14:editId="639793F6">
            <wp:extent cx="2348179" cy="169557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808"/>
                    <a:stretch/>
                  </pic:blipFill>
                  <pic:spPr bwMode="auto">
                    <a:xfrm>
                      <a:off x="0" y="0"/>
                      <a:ext cx="2356217" cy="1701378"/>
                    </a:xfrm>
                    <a:prstGeom prst="rect">
                      <a:avLst/>
                    </a:prstGeom>
                    <a:noFill/>
                    <a:ln>
                      <a:noFill/>
                    </a:ln>
                    <a:extLst>
                      <a:ext uri="{53640926-AAD7-44D8-BBD7-CCE9431645EC}">
                        <a14:shadowObscured xmlns:a14="http://schemas.microsoft.com/office/drawing/2010/main"/>
                      </a:ext>
                    </a:extLst>
                  </pic:spPr>
                </pic:pic>
              </a:graphicData>
            </a:graphic>
          </wp:inline>
        </w:drawing>
      </w:r>
    </w:p>
    <w:p w:rsidR="003D4F54" w:rsidRPr="003D4F54" w:rsidRDefault="003D4F54" w:rsidP="003D4F54">
      <w:pPr>
        <w:pStyle w:val="Lgende"/>
        <w:jc w:val="center"/>
        <w:rPr>
          <w:i/>
        </w:rPr>
      </w:pPr>
      <w:r w:rsidRPr="003D4F54">
        <w:rPr>
          <w:i/>
        </w:rPr>
        <w:t>Specific heat of the RT70-HC (calorimetry)</w:t>
      </w:r>
    </w:p>
    <w:p w:rsidR="005973B9" w:rsidRPr="003D4F54" w:rsidRDefault="005973B9" w:rsidP="003D4F54">
      <w:pPr>
        <w:pStyle w:val="Lgende"/>
      </w:pPr>
      <w:r>
        <w:rPr>
          <w:rFonts w:ascii="Arial"/>
          <w:b/>
          <w:color w:val="BF5A14"/>
          <w:sz w:val="20"/>
        </w:rPr>
        <w:br/>
        <w:t>Recent Publications (</w:t>
      </w:r>
      <w:r w:rsidR="00932F14">
        <w:rPr>
          <w:rFonts w:ascii="Arial"/>
          <w:b/>
          <w:color w:val="BF5A14"/>
          <w:sz w:val="20"/>
        </w:rPr>
        <w:t>if any-</w:t>
      </w:r>
      <w:r>
        <w:rPr>
          <w:rFonts w:ascii="Arial"/>
          <w:b/>
          <w:color w:val="BF5A14"/>
          <w:sz w:val="20"/>
        </w:rPr>
        <w:t>minimum 5)</w:t>
      </w:r>
    </w:p>
    <w:p w:rsidR="003D4F54" w:rsidRPr="003D4F54" w:rsidRDefault="003D4F54" w:rsidP="006C79AC">
      <w:pPr>
        <w:pStyle w:val="Bibliographie"/>
        <w:jc w:val="both"/>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w:t>
      </w:r>
      <w:r w:rsidRPr="003D4F54">
        <w:rPr>
          <w:rFonts w:ascii="Times New Roman" w:eastAsia="Times New Roman" w:hAnsi="Times New Roman" w:cs="Times New Roman"/>
          <w:bCs/>
          <w:sz w:val="18"/>
          <w:szCs w:val="18"/>
        </w:rPr>
        <w:t>1]</w:t>
      </w:r>
      <w:r w:rsidRPr="003D4F54">
        <w:rPr>
          <w:rFonts w:ascii="Times New Roman" w:eastAsia="Times New Roman" w:hAnsi="Times New Roman" w:cs="Times New Roman"/>
          <w:bCs/>
          <w:sz w:val="18"/>
          <w:szCs w:val="18"/>
        </w:rPr>
        <w:tab/>
        <w:t xml:space="preserve">A. </w:t>
      </w:r>
      <w:proofErr w:type="spellStart"/>
      <w:r w:rsidRPr="003D4F54">
        <w:rPr>
          <w:rFonts w:ascii="Times New Roman" w:eastAsia="Times New Roman" w:hAnsi="Times New Roman" w:cs="Times New Roman"/>
          <w:bCs/>
          <w:sz w:val="18"/>
          <w:szCs w:val="18"/>
        </w:rPr>
        <w:t>Fallahi</w:t>
      </w:r>
      <w:proofErr w:type="spellEnd"/>
      <w:r w:rsidRPr="003D4F54">
        <w:rPr>
          <w:rFonts w:ascii="Times New Roman" w:eastAsia="Times New Roman" w:hAnsi="Times New Roman" w:cs="Times New Roman"/>
          <w:bCs/>
          <w:sz w:val="18"/>
          <w:szCs w:val="18"/>
        </w:rPr>
        <w:t xml:space="preserve">, G. </w:t>
      </w:r>
      <w:proofErr w:type="spellStart"/>
      <w:r w:rsidRPr="003D4F54">
        <w:rPr>
          <w:rFonts w:ascii="Times New Roman" w:eastAsia="Times New Roman" w:hAnsi="Times New Roman" w:cs="Times New Roman"/>
          <w:bCs/>
          <w:sz w:val="18"/>
          <w:szCs w:val="18"/>
        </w:rPr>
        <w:t>Guldentops</w:t>
      </w:r>
      <w:proofErr w:type="spellEnd"/>
      <w:r w:rsidRPr="003D4F54">
        <w:rPr>
          <w:rFonts w:ascii="Times New Roman" w:eastAsia="Times New Roman" w:hAnsi="Times New Roman" w:cs="Times New Roman"/>
          <w:bCs/>
          <w:sz w:val="18"/>
          <w:szCs w:val="18"/>
        </w:rPr>
        <w:t>, M. Tao, S. Granados-</w:t>
      </w:r>
      <w:proofErr w:type="spellStart"/>
      <w:r w:rsidRPr="003D4F54">
        <w:rPr>
          <w:rFonts w:ascii="Times New Roman" w:eastAsia="Times New Roman" w:hAnsi="Times New Roman" w:cs="Times New Roman"/>
          <w:bCs/>
          <w:sz w:val="18"/>
          <w:szCs w:val="18"/>
        </w:rPr>
        <w:t>Focil</w:t>
      </w:r>
      <w:proofErr w:type="spellEnd"/>
      <w:r w:rsidRPr="003D4F54">
        <w:rPr>
          <w:rFonts w:ascii="Times New Roman" w:eastAsia="Times New Roman" w:hAnsi="Times New Roman" w:cs="Times New Roman"/>
          <w:bCs/>
          <w:sz w:val="18"/>
          <w:szCs w:val="18"/>
        </w:rPr>
        <w:t xml:space="preserve">, </w:t>
      </w:r>
      <w:proofErr w:type="gramStart"/>
      <w:r w:rsidRPr="003D4F54">
        <w:rPr>
          <w:rFonts w:ascii="Times New Roman" w:eastAsia="Times New Roman" w:hAnsi="Times New Roman" w:cs="Times New Roman"/>
          <w:bCs/>
          <w:sz w:val="18"/>
          <w:szCs w:val="18"/>
        </w:rPr>
        <w:t>et</w:t>
      </w:r>
      <w:proofErr w:type="gramEnd"/>
      <w:r w:rsidRPr="003D4F54">
        <w:rPr>
          <w:rFonts w:ascii="Times New Roman" w:eastAsia="Times New Roman" w:hAnsi="Times New Roman" w:cs="Times New Roman"/>
          <w:bCs/>
          <w:sz w:val="18"/>
          <w:szCs w:val="18"/>
        </w:rPr>
        <w:t xml:space="preserve"> S. Van </w:t>
      </w:r>
      <w:proofErr w:type="spellStart"/>
      <w:r w:rsidRPr="003D4F54">
        <w:rPr>
          <w:rFonts w:ascii="Times New Roman" w:eastAsia="Times New Roman" w:hAnsi="Times New Roman" w:cs="Times New Roman"/>
          <w:bCs/>
          <w:sz w:val="18"/>
          <w:szCs w:val="18"/>
        </w:rPr>
        <w:t>Dessel</w:t>
      </w:r>
      <w:proofErr w:type="spellEnd"/>
      <w:r w:rsidRPr="003D4F54">
        <w:rPr>
          <w:rFonts w:ascii="Times New Roman" w:eastAsia="Times New Roman" w:hAnsi="Times New Roman" w:cs="Times New Roman"/>
          <w:bCs/>
          <w:sz w:val="18"/>
          <w:szCs w:val="18"/>
        </w:rPr>
        <w:t>, « Review on solid-solid phase change materials for thermal energy storage: Molecular structure and thermal properties », Appl. Therm. Eng.</w:t>
      </w:r>
      <w:r>
        <w:rPr>
          <w:rFonts w:ascii="Times New Roman" w:eastAsia="Times New Roman" w:hAnsi="Times New Roman" w:cs="Times New Roman"/>
          <w:bCs/>
          <w:sz w:val="18"/>
          <w:szCs w:val="18"/>
        </w:rPr>
        <w:t xml:space="preserve">, vol. 127, p. 1427‑1441, </w:t>
      </w:r>
      <w:proofErr w:type="spellStart"/>
      <w:r>
        <w:rPr>
          <w:rFonts w:ascii="Times New Roman" w:eastAsia="Times New Roman" w:hAnsi="Times New Roman" w:cs="Times New Roman"/>
          <w:bCs/>
          <w:sz w:val="18"/>
          <w:szCs w:val="18"/>
        </w:rPr>
        <w:t>de</w:t>
      </w:r>
      <w:r w:rsidRPr="003D4F54">
        <w:rPr>
          <w:rFonts w:ascii="Times New Roman" w:eastAsia="Times New Roman" w:hAnsi="Times New Roman" w:cs="Times New Roman"/>
          <w:bCs/>
          <w:sz w:val="18"/>
          <w:szCs w:val="18"/>
        </w:rPr>
        <w:t>c.</w:t>
      </w:r>
      <w:proofErr w:type="spellEnd"/>
      <w:r w:rsidRPr="003D4F54">
        <w:rPr>
          <w:rFonts w:ascii="Times New Roman" w:eastAsia="Times New Roman" w:hAnsi="Times New Roman" w:cs="Times New Roman"/>
          <w:bCs/>
          <w:sz w:val="18"/>
          <w:szCs w:val="18"/>
        </w:rPr>
        <w:t xml:space="preserve"> 2017.</w:t>
      </w:r>
    </w:p>
    <w:p w:rsidR="003D4F54" w:rsidRPr="003D4F54" w:rsidRDefault="003D4F54" w:rsidP="006C79AC">
      <w:pPr>
        <w:pStyle w:val="Bibliographie"/>
        <w:jc w:val="both"/>
        <w:rPr>
          <w:rFonts w:ascii="Times New Roman" w:eastAsia="Times New Roman" w:hAnsi="Times New Roman" w:cs="Times New Roman"/>
          <w:bCs/>
          <w:sz w:val="18"/>
          <w:szCs w:val="18"/>
        </w:rPr>
      </w:pPr>
      <w:r w:rsidRPr="003D4F54">
        <w:rPr>
          <w:rFonts w:ascii="Times New Roman" w:eastAsia="Times New Roman" w:hAnsi="Times New Roman" w:cs="Times New Roman"/>
          <w:bCs/>
          <w:sz w:val="18"/>
          <w:szCs w:val="18"/>
        </w:rPr>
        <w:t>[2]</w:t>
      </w:r>
      <w:r w:rsidRPr="003D4F54">
        <w:rPr>
          <w:rFonts w:ascii="Times New Roman" w:eastAsia="Times New Roman" w:hAnsi="Times New Roman" w:cs="Times New Roman"/>
          <w:bCs/>
          <w:sz w:val="18"/>
          <w:szCs w:val="18"/>
        </w:rPr>
        <w:tab/>
        <w:t xml:space="preserve">L. F. Cabeza, A. Castell, C. </w:t>
      </w:r>
      <w:proofErr w:type="spellStart"/>
      <w:r w:rsidRPr="003D4F54">
        <w:rPr>
          <w:rFonts w:ascii="Times New Roman" w:eastAsia="Times New Roman" w:hAnsi="Times New Roman" w:cs="Times New Roman"/>
          <w:bCs/>
          <w:sz w:val="18"/>
          <w:szCs w:val="18"/>
        </w:rPr>
        <w:t>Barreneche</w:t>
      </w:r>
      <w:proofErr w:type="spellEnd"/>
      <w:r w:rsidRPr="003D4F54">
        <w:rPr>
          <w:rFonts w:ascii="Times New Roman" w:eastAsia="Times New Roman" w:hAnsi="Times New Roman" w:cs="Times New Roman"/>
          <w:bCs/>
          <w:sz w:val="18"/>
          <w:szCs w:val="18"/>
        </w:rPr>
        <w:t xml:space="preserve">, A. de </w:t>
      </w:r>
      <w:proofErr w:type="spellStart"/>
      <w:r w:rsidRPr="003D4F54">
        <w:rPr>
          <w:rFonts w:ascii="Times New Roman" w:eastAsia="Times New Roman" w:hAnsi="Times New Roman" w:cs="Times New Roman"/>
          <w:bCs/>
          <w:sz w:val="18"/>
          <w:szCs w:val="18"/>
        </w:rPr>
        <w:t>Gracia</w:t>
      </w:r>
      <w:proofErr w:type="spellEnd"/>
      <w:r w:rsidRPr="003D4F54">
        <w:rPr>
          <w:rFonts w:ascii="Times New Roman" w:eastAsia="Times New Roman" w:hAnsi="Times New Roman" w:cs="Times New Roman"/>
          <w:bCs/>
          <w:sz w:val="18"/>
          <w:szCs w:val="18"/>
        </w:rPr>
        <w:t xml:space="preserve">, </w:t>
      </w:r>
      <w:proofErr w:type="gramStart"/>
      <w:r w:rsidRPr="003D4F54">
        <w:rPr>
          <w:rFonts w:ascii="Times New Roman" w:eastAsia="Times New Roman" w:hAnsi="Times New Roman" w:cs="Times New Roman"/>
          <w:bCs/>
          <w:sz w:val="18"/>
          <w:szCs w:val="18"/>
        </w:rPr>
        <w:t>et</w:t>
      </w:r>
      <w:proofErr w:type="gramEnd"/>
      <w:r w:rsidRPr="003D4F54">
        <w:rPr>
          <w:rFonts w:ascii="Times New Roman" w:eastAsia="Times New Roman" w:hAnsi="Times New Roman" w:cs="Times New Roman"/>
          <w:bCs/>
          <w:sz w:val="18"/>
          <w:szCs w:val="18"/>
        </w:rPr>
        <w:t xml:space="preserve"> A. I. </w:t>
      </w:r>
      <w:proofErr w:type="spellStart"/>
      <w:r w:rsidRPr="003D4F54">
        <w:rPr>
          <w:rFonts w:ascii="Times New Roman" w:eastAsia="Times New Roman" w:hAnsi="Times New Roman" w:cs="Times New Roman"/>
          <w:bCs/>
          <w:sz w:val="18"/>
          <w:szCs w:val="18"/>
        </w:rPr>
        <w:t>Fernández</w:t>
      </w:r>
      <w:proofErr w:type="spellEnd"/>
      <w:r w:rsidRPr="003D4F54">
        <w:rPr>
          <w:rFonts w:ascii="Times New Roman" w:eastAsia="Times New Roman" w:hAnsi="Times New Roman" w:cs="Times New Roman"/>
          <w:bCs/>
          <w:sz w:val="18"/>
          <w:szCs w:val="18"/>
        </w:rPr>
        <w:t xml:space="preserve">, « Materials used as PCM in thermal energy storage in buildings: A review », Renew. Sustain. Energy Rev., vol. 15, no 3, p. 1675‑1695, </w:t>
      </w:r>
      <w:proofErr w:type="spellStart"/>
      <w:r w:rsidRPr="003D4F54">
        <w:rPr>
          <w:rFonts w:ascii="Times New Roman" w:eastAsia="Times New Roman" w:hAnsi="Times New Roman" w:cs="Times New Roman"/>
          <w:bCs/>
          <w:sz w:val="18"/>
          <w:szCs w:val="18"/>
        </w:rPr>
        <w:t>avr</w:t>
      </w:r>
      <w:proofErr w:type="spellEnd"/>
      <w:r w:rsidRPr="003D4F54">
        <w:rPr>
          <w:rFonts w:ascii="Times New Roman" w:eastAsia="Times New Roman" w:hAnsi="Times New Roman" w:cs="Times New Roman"/>
          <w:bCs/>
          <w:sz w:val="18"/>
          <w:szCs w:val="18"/>
        </w:rPr>
        <w:t>. 2011.</w:t>
      </w:r>
    </w:p>
    <w:p w:rsidR="003D4F54" w:rsidRPr="003D4F54" w:rsidRDefault="003D4F54" w:rsidP="006C79AC">
      <w:pPr>
        <w:pStyle w:val="Bibliographie"/>
        <w:jc w:val="both"/>
        <w:rPr>
          <w:rFonts w:ascii="Times New Roman" w:eastAsia="Times New Roman" w:hAnsi="Times New Roman" w:cs="Times New Roman"/>
          <w:bCs/>
          <w:sz w:val="18"/>
          <w:szCs w:val="18"/>
        </w:rPr>
      </w:pPr>
      <w:r w:rsidRPr="003D4F54">
        <w:rPr>
          <w:rFonts w:ascii="Times New Roman" w:eastAsia="Times New Roman" w:hAnsi="Times New Roman" w:cs="Times New Roman"/>
          <w:bCs/>
          <w:sz w:val="18"/>
          <w:szCs w:val="18"/>
        </w:rPr>
        <w:t>[3]</w:t>
      </w:r>
      <w:r w:rsidRPr="003D4F54">
        <w:rPr>
          <w:rFonts w:ascii="Times New Roman" w:eastAsia="Times New Roman" w:hAnsi="Times New Roman" w:cs="Times New Roman"/>
          <w:bCs/>
          <w:sz w:val="18"/>
          <w:szCs w:val="18"/>
        </w:rPr>
        <w:tab/>
        <w:t xml:space="preserve">P. Arce, M. Medrano, A. Gil, E. </w:t>
      </w:r>
      <w:proofErr w:type="spellStart"/>
      <w:r w:rsidRPr="003D4F54">
        <w:rPr>
          <w:rFonts w:ascii="Times New Roman" w:eastAsia="Times New Roman" w:hAnsi="Times New Roman" w:cs="Times New Roman"/>
          <w:bCs/>
          <w:sz w:val="18"/>
          <w:szCs w:val="18"/>
        </w:rPr>
        <w:t>Oró</w:t>
      </w:r>
      <w:proofErr w:type="spellEnd"/>
      <w:r w:rsidRPr="003D4F54">
        <w:rPr>
          <w:rFonts w:ascii="Times New Roman" w:eastAsia="Times New Roman" w:hAnsi="Times New Roman" w:cs="Times New Roman"/>
          <w:bCs/>
          <w:sz w:val="18"/>
          <w:szCs w:val="18"/>
        </w:rPr>
        <w:t xml:space="preserve">, et L. F. Cabeza, « Overview of thermal energy storage (TES) potential energy savings and climate change mitigation in Spain and Europe », Appl. Energy, vol. 88, no 8, p. 2764‑2774, </w:t>
      </w:r>
      <w:proofErr w:type="spellStart"/>
      <w:r w:rsidRPr="003D4F54">
        <w:rPr>
          <w:rFonts w:ascii="Times New Roman" w:eastAsia="Times New Roman" w:hAnsi="Times New Roman" w:cs="Times New Roman"/>
          <w:bCs/>
          <w:sz w:val="18"/>
          <w:szCs w:val="18"/>
        </w:rPr>
        <w:t>août</w:t>
      </w:r>
      <w:proofErr w:type="spellEnd"/>
      <w:r w:rsidRPr="003D4F54">
        <w:rPr>
          <w:rFonts w:ascii="Times New Roman" w:eastAsia="Times New Roman" w:hAnsi="Times New Roman" w:cs="Times New Roman"/>
          <w:bCs/>
          <w:sz w:val="18"/>
          <w:szCs w:val="18"/>
        </w:rPr>
        <w:t xml:space="preserve"> 2011.</w:t>
      </w:r>
    </w:p>
    <w:p w:rsidR="003D4F54" w:rsidRDefault="003D4F54" w:rsidP="006C79AC">
      <w:pPr>
        <w:pStyle w:val="Bibliographie"/>
        <w:jc w:val="both"/>
        <w:rPr>
          <w:rFonts w:ascii="Times New Roman" w:eastAsia="Times New Roman" w:hAnsi="Times New Roman" w:cs="Times New Roman"/>
          <w:bCs/>
          <w:sz w:val="18"/>
          <w:szCs w:val="18"/>
        </w:rPr>
      </w:pPr>
      <w:r w:rsidRPr="003D4F54">
        <w:rPr>
          <w:rFonts w:ascii="Times New Roman" w:eastAsia="Times New Roman" w:hAnsi="Times New Roman" w:cs="Times New Roman"/>
          <w:bCs/>
          <w:sz w:val="18"/>
          <w:szCs w:val="18"/>
        </w:rPr>
        <w:t>[4]</w:t>
      </w:r>
      <w:r w:rsidRPr="003D4F54">
        <w:rPr>
          <w:rFonts w:ascii="Times New Roman" w:eastAsia="Times New Roman" w:hAnsi="Times New Roman" w:cs="Times New Roman"/>
          <w:bCs/>
          <w:sz w:val="18"/>
          <w:szCs w:val="18"/>
        </w:rPr>
        <w:tab/>
        <w:t xml:space="preserve">M. M. </w:t>
      </w:r>
      <w:proofErr w:type="spellStart"/>
      <w:r w:rsidRPr="003D4F54">
        <w:rPr>
          <w:rFonts w:ascii="Times New Roman" w:eastAsia="Times New Roman" w:hAnsi="Times New Roman" w:cs="Times New Roman"/>
          <w:bCs/>
          <w:sz w:val="18"/>
          <w:szCs w:val="18"/>
        </w:rPr>
        <w:t>Kenisarin</w:t>
      </w:r>
      <w:proofErr w:type="spellEnd"/>
      <w:r w:rsidRPr="003D4F54">
        <w:rPr>
          <w:rFonts w:ascii="Times New Roman" w:eastAsia="Times New Roman" w:hAnsi="Times New Roman" w:cs="Times New Roman"/>
          <w:bCs/>
          <w:sz w:val="18"/>
          <w:szCs w:val="18"/>
        </w:rPr>
        <w:t xml:space="preserve"> </w:t>
      </w:r>
      <w:proofErr w:type="gramStart"/>
      <w:r w:rsidRPr="003D4F54">
        <w:rPr>
          <w:rFonts w:ascii="Times New Roman" w:eastAsia="Times New Roman" w:hAnsi="Times New Roman" w:cs="Times New Roman"/>
          <w:bCs/>
          <w:sz w:val="18"/>
          <w:szCs w:val="18"/>
        </w:rPr>
        <w:t>et</w:t>
      </w:r>
      <w:proofErr w:type="gramEnd"/>
      <w:r w:rsidRPr="003D4F54">
        <w:rPr>
          <w:rFonts w:ascii="Times New Roman" w:eastAsia="Times New Roman" w:hAnsi="Times New Roman" w:cs="Times New Roman"/>
          <w:bCs/>
          <w:sz w:val="18"/>
          <w:szCs w:val="18"/>
        </w:rPr>
        <w:t xml:space="preserve"> K. M. </w:t>
      </w:r>
      <w:proofErr w:type="spellStart"/>
      <w:r w:rsidRPr="003D4F54">
        <w:rPr>
          <w:rFonts w:ascii="Times New Roman" w:eastAsia="Times New Roman" w:hAnsi="Times New Roman" w:cs="Times New Roman"/>
          <w:bCs/>
          <w:sz w:val="18"/>
          <w:szCs w:val="18"/>
        </w:rPr>
        <w:t>Kenisarina</w:t>
      </w:r>
      <w:proofErr w:type="spellEnd"/>
      <w:r w:rsidRPr="003D4F54">
        <w:rPr>
          <w:rFonts w:ascii="Times New Roman" w:eastAsia="Times New Roman" w:hAnsi="Times New Roman" w:cs="Times New Roman"/>
          <w:bCs/>
          <w:sz w:val="18"/>
          <w:szCs w:val="18"/>
        </w:rPr>
        <w:t xml:space="preserve">, « Form-stable phase change materials for thermal energy storage », Renew. Sustain. Energy Rev., vol. 16, no 4, p. 1999‑2040, </w:t>
      </w:r>
      <w:proofErr w:type="spellStart"/>
      <w:r w:rsidRPr="003D4F54">
        <w:rPr>
          <w:rFonts w:ascii="Times New Roman" w:eastAsia="Times New Roman" w:hAnsi="Times New Roman" w:cs="Times New Roman"/>
          <w:bCs/>
          <w:sz w:val="18"/>
          <w:szCs w:val="18"/>
        </w:rPr>
        <w:t>mai</w:t>
      </w:r>
      <w:proofErr w:type="spellEnd"/>
      <w:r w:rsidRPr="003D4F54">
        <w:rPr>
          <w:rFonts w:ascii="Times New Roman" w:eastAsia="Times New Roman" w:hAnsi="Times New Roman" w:cs="Times New Roman"/>
          <w:bCs/>
          <w:sz w:val="18"/>
          <w:szCs w:val="18"/>
        </w:rPr>
        <w:t xml:space="preserve"> 2012.</w:t>
      </w:r>
    </w:p>
    <w:p w:rsidR="003D4F54" w:rsidRPr="003D4F54" w:rsidRDefault="003D4F54" w:rsidP="006C79AC">
      <w:pPr>
        <w:pStyle w:val="Bibliographie"/>
        <w:jc w:val="both"/>
        <w:rPr>
          <w:rFonts w:ascii="Times New Roman" w:eastAsia="Times New Roman" w:hAnsi="Times New Roman" w:cs="Times New Roman"/>
          <w:bCs/>
          <w:sz w:val="18"/>
          <w:szCs w:val="18"/>
        </w:rPr>
      </w:pPr>
      <w:r w:rsidRPr="003D4F54">
        <w:rPr>
          <w:rFonts w:ascii="Times New Roman" w:eastAsia="Times New Roman" w:hAnsi="Times New Roman" w:cs="Times New Roman"/>
          <w:bCs/>
          <w:sz w:val="18"/>
          <w:szCs w:val="18"/>
        </w:rPr>
        <w:t>[5]</w:t>
      </w:r>
      <w:r w:rsidRPr="003D4F54">
        <w:rPr>
          <w:rFonts w:ascii="Times New Roman" w:eastAsia="Times New Roman" w:hAnsi="Times New Roman" w:cs="Times New Roman"/>
          <w:bCs/>
          <w:sz w:val="18"/>
          <w:szCs w:val="18"/>
        </w:rPr>
        <w:tab/>
      </w:r>
      <w:r w:rsidRPr="003D4F54">
        <w:rPr>
          <w:rFonts w:ascii="Times New Roman" w:eastAsia="Times New Roman" w:hAnsi="Times New Roman" w:cs="Times New Roman"/>
          <w:bCs/>
          <w:sz w:val="18"/>
          <w:szCs w:val="18"/>
        </w:rPr>
        <w:t xml:space="preserve">J. Font, J. </w:t>
      </w:r>
      <w:proofErr w:type="spellStart"/>
      <w:r w:rsidRPr="003D4F54">
        <w:rPr>
          <w:rFonts w:ascii="Times New Roman" w:eastAsia="Times New Roman" w:hAnsi="Times New Roman" w:cs="Times New Roman"/>
          <w:bCs/>
          <w:sz w:val="18"/>
          <w:szCs w:val="18"/>
        </w:rPr>
        <w:t>Muntasell</w:t>
      </w:r>
      <w:proofErr w:type="spellEnd"/>
      <w:r w:rsidRPr="003D4F54">
        <w:rPr>
          <w:rFonts w:ascii="Times New Roman" w:eastAsia="Times New Roman" w:hAnsi="Times New Roman" w:cs="Times New Roman"/>
          <w:bCs/>
          <w:sz w:val="18"/>
          <w:szCs w:val="18"/>
        </w:rPr>
        <w:t xml:space="preserve">, </w:t>
      </w:r>
      <w:proofErr w:type="gramStart"/>
      <w:r w:rsidRPr="003D4F54">
        <w:rPr>
          <w:rFonts w:ascii="Times New Roman" w:eastAsia="Times New Roman" w:hAnsi="Times New Roman" w:cs="Times New Roman"/>
          <w:bCs/>
          <w:sz w:val="18"/>
          <w:szCs w:val="18"/>
        </w:rPr>
        <w:t>et</w:t>
      </w:r>
      <w:proofErr w:type="gramEnd"/>
      <w:r w:rsidRPr="003D4F54">
        <w:rPr>
          <w:rFonts w:ascii="Times New Roman" w:eastAsia="Times New Roman" w:hAnsi="Times New Roman" w:cs="Times New Roman"/>
          <w:bCs/>
          <w:sz w:val="18"/>
          <w:szCs w:val="18"/>
        </w:rPr>
        <w:t xml:space="preserve"> E. </w:t>
      </w:r>
      <w:proofErr w:type="spellStart"/>
      <w:r w:rsidRPr="003D4F54">
        <w:rPr>
          <w:rFonts w:ascii="Times New Roman" w:eastAsia="Times New Roman" w:hAnsi="Times New Roman" w:cs="Times New Roman"/>
          <w:bCs/>
          <w:sz w:val="18"/>
          <w:szCs w:val="18"/>
        </w:rPr>
        <w:t>Cesari</w:t>
      </w:r>
      <w:proofErr w:type="spellEnd"/>
      <w:r w:rsidRPr="003D4F54">
        <w:rPr>
          <w:rFonts w:ascii="Times New Roman" w:eastAsia="Times New Roman" w:hAnsi="Times New Roman" w:cs="Times New Roman"/>
          <w:bCs/>
          <w:sz w:val="18"/>
          <w:szCs w:val="18"/>
        </w:rPr>
        <w:t xml:space="preserve">, « Plastic crystals: </w:t>
      </w:r>
      <w:proofErr w:type="spellStart"/>
      <w:r w:rsidRPr="003D4F54">
        <w:rPr>
          <w:rFonts w:ascii="Times New Roman" w:eastAsia="Times New Roman" w:hAnsi="Times New Roman" w:cs="Times New Roman"/>
          <w:bCs/>
          <w:sz w:val="18"/>
          <w:szCs w:val="18"/>
        </w:rPr>
        <w:t>Dilatometric</w:t>
      </w:r>
      <w:proofErr w:type="spellEnd"/>
      <w:r w:rsidRPr="003D4F54">
        <w:rPr>
          <w:rFonts w:ascii="Times New Roman" w:eastAsia="Times New Roman" w:hAnsi="Times New Roman" w:cs="Times New Roman"/>
          <w:bCs/>
          <w:sz w:val="18"/>
          <w:szCs w:val="18"/>
        </w:rPr>
        <w:t xml:space="preserve"> and </w:t>
      </w:r>
      <w:proofErr w:type="spellStart"/>
      <w:r w:rsidRPr="003D4F54">
        <w:rPr>
          <w:rFonts w:ascii="Times New Roman" w:eastAsia="Times New Roman" w:hAnsi="Times New Roman" w:cs="Times New Roman"/>
          <w:bCs/>
          <w:sz w:val="18"/>
          <w:szCs w:val="18"/>
        </w:rPr>
        <w:t>thermobarometric</w:t>
      </w:r>
      <w:proofErr w:type="spellEnd"/>
      <w:r w:rsidRPr="003D4F54">
        <w:rPr>
          <w:rFonts w:ascii="Times New Roman" w:eastAsia="Times New Roman" w:hAnsi="Times New Roman" w:cs="Times New Roman"/>
          <w:bCs/>
          <w:sz w:val="18"/>
          <w:szCs w:val="18"/>
        </w:rPr>
        <w:t xml:space="preserve"> complementary studies », Mater. Res. Bull., vol. 30, no 7, p. 839‑844, </w:t>
      </w:r>
      <w:proofErr w:type="spellStart"/>
      <w:r w:rsidRPr="003D4F54">
        <w:rPr>
          <w:rFonts w:ascii="Times New Roman" w:eastAsia="Times New Roman" w:hAnsi="Times New Roman" w:cs="Times New Roman"/>
          <w:bCs/>
          <w:sz w:val="18"/>
          <w:szCs w:val="18"/>
        </w:rPr>
        <w:t>juill</w:t>
      </w:r>
      <w:proofErr w:type="spellEnd"/>
      <w:r w:rsidRPr="003D4F54">
        <w:rPr>
          <w:rFonts w:ascii="Times New Roman" w:eastAsia="Times New Roman" w:hAnsi="Times New Roman" w:cs="Times New Roman"/>
          <w:bCs/>
          <w:sz w:val="18"/>
          <w:szCs w:val="18"/>
        </w:rPr>
        <w:t>. 1995.</w:t>
      </w:r>
    </w:p>
    <w:p w:rsidR="003D4F54" w:rsidRPr="003D4F54" w:rsidRDefault="003D4F54" w:rsidP="006C79AC">
      <w:pPr>
        <w:pStyle w:val="Bibliographie"/>
        <w:jc w:val="both"/>
        <w:rPr>
          <w:rFonts w:ascii="Times New Roman" w:eastAsia="Times New Roman" w:hAnsi="Times New Roman" w:cs="Times New Roman"/>
          <w:bCs/>
          <w:sz w:val="18"/>
          <w:szCs w:val="18"/>
        </w:rPr>
      </w:pPr>
      <w:r w:rsidRPr="003D4F54">
        <w:rPr>
          <w:rFonts w:ascii="Times New Roman" w:eastAsia="Times New Roman" w:hAnsi="Times New Roman" w:cs="Times New Roman"/>
          <w:bCs/>
          <w:sz w:val="18"/>
          <w:szCs w:val="18"/>
        </w:rPr>
        <w:t>[6]</w:t>
      </w:r>
      <w:r w:rsidRPr="003D4F54">
        <w:rPr>
          <w:rFonts w:ascii="Times New Roman" w:eastAsia="Times New Roman" w:hAnsi="Times New Roman" w:cs="Times New Roman"/>
          <w:bCs/>
          <w:sz w:val="18"/>
          <w:szCs w:val="18"/>
        </w:rPr>
        <w:tab/>
        <w:t xml:space="preserve">W. F. </w:t>
      </w:r>
      <w:proofErr w:type="gramStart"/>
      <w:r w:rsidRPr="003D4F54">
        <w:rPr>
          <w:rFonts w:ascii="Times New Roman" w:eastAsia="Times New Roman" w:hAnsi="Times New Roman" w:cs="Times New Roman"/>
          <w:bCs/>
          <w:sz w:val="18"/>
          <w:szCs w:val="18"/>
        </w:rPr>
        <w:t>Gao</w:t>
      </w:r>
      <w:proofErr w:type="gramEnd"/>
      <w:r w:rsidRPr="003D4F54">
        <w:rPr>
          <w:rFonts w:ascii="Times New Roman" w:eastAsia="Times New Roman" w:hAnsi="Times New Roman" w:cs="Times New Roman"/>
          <w:bCs/>
          <w:sz w:val="18"/>
          <w:szCs w:val="18"/>
        </w:rPr>
        <w:t>, W. X. Lin, T. Liu, et M. Li, « An experimental study on the application of polyalcohol solid-solid phase</w:t>
      </w:r>
      <w:r w:rsidRPr="003D4F54">
        <w:rPr>
          <w:rFonts w:ascii="Times New Roman" w:eastAsia="Times New Roman" w:hAnsi="Times New Roman" w:cs="Times New Roman"/>
          <w:bCs/>
          <w:sz w:val="18"/>
          <w:szCs w:val="18"/>
        </w:rPr>
        <w:t xml:space="preserve"> </w:t>
      </w:r>
      <w:r w:rsidRPr="003D4F54">
        <w:rPr>
          <w:rFonts w:ascii="Times New Roman" w:eastAsia="Times New Roman" w:hAnsi="Times New Roman" w:cs="Times New Roman"/>
          <w:bCs/>
          <w:sz w:val="18"/>
          <w:szCs w:val="18"/>
        </w:rPr>
        <w:t xml:space="preserve">change materials in solar drying with cross-corrugated solar air collectors », </w:t>
      </w:r>
      <w:proofErr w:type="spellStart"/>
      <w:r w:rsidRPr="003D4F54">
        <w:rPr>
          <w:rFonts w:ascii="Times New Roman" w:eastAsia="Times New Roman" w:hAnsi="Times New Roman" w:cs="Times New Roman"/>
          <w:bCs/>
          <w:sz w:val="18"/>
          <w:szCs w:val="18"/>
        </w:rPr>
        <w:t>présenté</w:t>
      </w:r>
      <w:proofErr w:type="spellEnd"/>
      <w:r w:rsidRPr="003D4F54">
        <w:rPr>
          <w:rFonts w:ascii="Times New Roman" w:eastAsia="Times New Roman" w:hAnsi="Times New Roman" w:cs="Times New Roman"/>
          <w:bCs/>
          <w:sz w:val="18"/>
          <w:szCs w:val="18"/>
        </w:rPr>
        <w:t xml:space="preserve"> à IOP Conference Series: Earth and Environmental Science, 2017, vol. 93.</w:t>
      </w:r>
    </w:p>
    <w:p w:rsidR="003D4F54" w:rsidRPr="003D4F54" w:rsidRDefault="003D4F54" w:rsidP="006C79AC">
      <w:pPr>
        <w:pStyle w:val="Bibliographie"/>
        <w:jc w:val="both"/>
        <w:rPr>
          <w:rFonts w:ascii="Times New Roman" w:eastAsia="Times New Roman" w:hAnsi="Times New Roman" w:cs="Times New Roman"/>
          <w:bCs/>
          <w:sz w:val="18"/>
          <w:szCs w:val="18"/>
        </w:rPr>
      </w:pPr>
      <w:r w:rsidRPr="003D4F54">
        <w:rPr>
          <w:rFonts w:ascii="Times New Roman" w:eastAsia="Times New Roman" w:hAnsi="Times New Roman" w:cs="Times New Roman"/>
          <w:bCs/>
          <w:sz w:val="18"/>
          <w:szCs w:val="18"/>
        </w:rPr>
        <w:t>[7]</w:t>
      </w:r>
      <w:r w:rsidRPr="003D4F54">
        <w:rPr>
          <w:rFonts w:ascii="Times New Roman" w:eastAsia="Times New Roman" w:hAnsi="Times New Roman" w:cs="Times New Roman"/>
          <w:bCs/>
          <w:sz w:val="18"/>
          <w:szCs w:val="18"/>
        </w:rPr>
        <w:tab/>
        <w:t xml:space="preserve">M. Barrio, J. Font, D. O. </w:t>
      </w:r>
      <w:proofErr w:type="spellStart"/>
      <w:r w:rsidRPr="003D4F54">
        <w:rPr>
          <w:rFonts w:ascii="Times New Roman" w:eastAsia="Times New Roman" w:hAnsi="Times New Roman" w:cs="Times New Roman"/>
          <w:bCs/>
          <w:sz w:val="18"/>
          <w:szCs w:val="18"/>
        </w:rPr>
        <w:t>López</w:t>
      </w:r>
      <w:proofErr w:type="spellEnd"/>
      <w:r w:rsidRPr="003D4F54">
        <w:rPr>
          <w:rFonts w:ascii="Times New Roman" w:eastAsia="Times New Roman" w:hAnsi="Times New Roman" w:cs="Times New Roman"/>
          <w:bCs/>
          <w:sz w:val="18"/>
          <w:szCs w:val="18"/>
        </w:rPr>
        <w:t xml:space="preserve">, J. </w:t>
      </w:r>
      <w:proofErr w:type="spellStart"/>
      <w:r w:rsidRPr="003D4F54">
        <w:rPr>
          <w:rFonts w:ascii="Times New Roman" w:eastAsia="Times New Roman" w:hAnsi="Times New Roman" w:cs="Times New Roman"/>
          <w:bCs/>
          <w:sz w:val="18"/>
          <w:szCs w:val="18"/>
        </w:rPr>
        <w:t>Muntasell</w:t>
      </w:r>
      <w:proofErr w:type="spellEnd"/>
      <w:r w:rsidRPr="003D4F54">
        <w:rPr>
          <w:rFonts w:ascii="Times New Roman" w:eastAsia="Times New Roman" w:hAnsi="Times New Roman" w:cs="Times New Roman"/>
          <w:bCs/>
          <w:sz w:val="18"/>
          <w:szCs w:val="18"/>
        </w:rPr>
        <w:t xml:space="preserve">, et J. L. </w:t>
      </w:r>
      <w:proofErr w:type="spellStart"/>
      <w:r w:rsidRPr="003D4F54">
        <w:rPr>
          <w:rFonts w:ascii="Times New Roman" w:eastAsia="Times New Roman" w:hAnsi="Times New Roman" w:cs="Times New Roman"/>
          <w:bCs/>
          <w:sz w:val="18"/>
          <w:szCs w:val="18"/>
        </w:rPr>
        <w:t>Tamarit</w:t>
      </w:r>
      <w:proofErr w:type="spellEnd"/>
      <w:r w:rsidRPr="003D4F54">
        <w:rPr>
          <w:rFonts w:ascii="Times New Roman" w:eastAsia="Times New Roman" w:hAnsi="Times New Roman" w:cs="Times New Roman"/>
          <w:bCs/>
          <w:sz w:val="18"/>
          <w:szCs w:val="18"/>
        </w:rPr>
        <w:t xml:space="preserve">, « Floor radiant system with heat storage by a solid-solid phase transition material », Sol. Energy Mater. Sol. Cells, vol. 27, no 2, p. 127‑133, </w:t>
      </w:r>
      <w:proofErr w:type="spellStart"/>
      <w:r w:rsidRPr="003D4F54">
        <w:rPr>
          <w:rFonts w:ascii="Times New Roman" w:eastAsia="Times New Roman" w:hAnsi="Times New Roman" w:cs="Times New Roman"/>
          <w:bCs/>
          <w:sz w:val="18"/>
          <w:szCs w:val="18"/>
        </w:rPr>
        <w:t>juill</w:t>
      </w:r>
      <w:proofErr w:type="spellEnd"/>
      <w:r w:rsidRPr="003D4F54">
        <w:rPr>
          <w:rFonts w:ascii="Times New Roman" w:eastAsia="Times New Roman" w:hAnsi="Times New Roman" w:cs="Times New Roman"/>
          <w:bCs/>
          <w:sz w:val="18"/>
          <w:szCs w:val="18"/>
        </w:rPr>
        <w:t>. 1992.</w:t>
      </w:r>
    </w:p>
    <w:p w:rsidR="00AE3E37" w:rsidRPr="008756E6" w:rsidRDefault="003D4F54" w:rsidP="006C79AC">
      <w:pPr>
        <w:pStyle w:val="Bibliographie"/>
        <w:jc w:val="both"/>
      </w:pPr>
      <w:r w:rsidRPr="003D4F54">
        <w:rPr>
          <w:rFonts w:ascii="Times New Roman" w:eastAsia="Times New Roman" w:hAnsi="Times New Roman" w:cs="Times New Roman"/>
          <w:bCs/>
          <w:sz w:val="18"/>
          <w:szCs w:val="18"/>
        </w:rPr>
        <w:t>[8]</w:t>
      </w:r>
      <w:r w:rsidRPr="003D4F54">
        <w:rPr>
          <w:rFonts w:ascii="Times New Roman" w:eastAsia="Times New Roman" w:hAnsi="Times New Roman" w:cs="Times New Roman"/>
          <w:bCs/>
          <w:sz w:val="18"/>
          <w:szCs w:val="18"/>
        </w:rPr>
        <w:tab/>
        <w:t xml:space="preserve">M. </w:t>
      </w:r>
      <w:proofErr w:type="spellStart"/>
      <w:r w:rsidRPr="003D4F54">
        <w:rPr>
          <w:rFonts w:ascii="Times New Roman" w:eastAsia="Times New Roman" w:hAnsi="Times New Roman" w:cs="Times New Roman"/>
          <w:bCs/>
          <w:sz w:val="18"/>
          <w:szCs w:val="18"/>
        </w:rPr>
        <w:t>Kuta</w:t>
      </w:r>
      <w:proofErr w:type="spellEnd"/>
      <w:r w:rsidRPr="003D4F54">
        <w:rPr>
          <w:rFonts w:ascii="Times New Roman" w:eastAsia="Times New Roman" w:hAnsi="Times New Roman" w:cs="Times New Roman"/>
          <w:bCs/>
          <w:sz w:val="18"/>
          <w:szCs w:val="18"/>
        </w:rPr>
        <w:t xml:space="preserve"> </w:t>
      </w:r>
      <w:proofErr w:type="gramStart"/>
      <w:r w:rsidRPr="003D4F54">
        <w:rPr>
          <w:rFonts w:ascii="Times New Roman" w:eastAsia="Times New Roman" w:hAnsi="Times New Roman" w:cs="Times New Roman"/>
          <w:bCs/>
          <w:sz w:val="18"/>
          <w:szCs w:val="18"/>
        </w:rPr>
        <w:t>et</w:t>
      </w:r>
      <w:proofErr w:type="gramEnd"/>
      <w:r w:rsidRPr="003D4F54">
        <w:rPr>
          <w:rFonts w:ascii="Times New Roman" w:eastAsia="Times New Roman" w:hAnsi="Times New Roman" w:cs="Times New Roman"/>
          <w:bCs/>
          <w:sz w:val="18"/>
          <w:szCs w:val="18"/>
        </w:rPr>
        <w:t xml:space="preserve"> T. M. </w:t>
      </w:r>
      <w:proofErr w:type="spellStart"/>
      <w:r w:rsidRPr="003D4F54">
        <w:rPr>
          <w:rFonts w:ascii="Times New Roman" w:eastAsia="Times New Roman" w:hAnsi="Times New Roman" w:cs="Times New Roman"/>
          <w:bCs/>
          <w:sz w:val="18"/>
          <w:szCs w:val="18"/>
        </w:rPr>
        <w:t>Wójcik</w:t>
      </w:r>
      <w:proofErr w:type="spellEnd"/>
      <w:r w:rsidRPr="003D4F54">
        <w:rPr>
          <w:rFonts w:ascii="Times New Roman" w:eastAsia="Times New Roman" w:hAnsi="Times New Roman" w:cs="Times New Roman"/>
          <w:bCs/>
          <w:sz w:val="18"/>
          <w:szCs w:val="18"/>
        </w:rPr>
        <w:t>, « Phase change materials in energy sector - applications and material requirements », EPJ Web Conf., vol. 92, p. 02043, 2015.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D3BA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027887" w:rsidP="00404E5B">
      <w:pPr>
        <w:spacing w:before="92"/>
        <w:ind w:right="4234"/>
        <w:rPr>
          <w:rFonts w:ascii="Arial"/>
        </w:rPr>
      </w:pPr>
      <w:r>
        <w:rPr>
          <w:noProof/>
        </w:rPr>
        <w:lastRenderedPageBreak/>
        <w:t xml:space="preserve">    Image:</w:t>
      </w:r>
      <w:r w:rsidR="008756E6">
        <w:rPr>
          <w:noProof/>
        </w:rPr>
        <w:t xml:space="preserve">  </w:t>
      </w:r>
      <w:r w:rsidR="004224C6" w:rsidRPr="004224C6">
        <w:rPr>
          <w:noProof/>
          <w:lang w:val="fr-FR" w:eastAsia="fr-FR"/>
        </w:rPr>
        <w:drawing>
          <wp:inline distT="0" distB="0" distL="0" distR="0">
            <wp:extent cx="694944" cy="694944"/>
            <wp:effectExtent l="0" t="0" r="0" b="0"/>
            <wp:docPr id="2" name="Image 2" descr="C:\Users\GL237155\Desktop\photo GL237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L237155\Desktop\photo GL23715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997" cy="697997"/>
                    </a:xfrm>
                    <a:prstGeom prst="rect">
                      <a:avLst/>
                    </a:prstGeom>
                    <a:noFill/>
                    <a:ln>
                      <a:noFill/>
                    </a:ln>
                  </pic:spPr>
                </pic:pic>
              </a:graphicData>
            </a:graphic>
          </wp:inline>
        </w:drawing>
      </w:r>
      <w:r w:rsidR="00932F14">
        <w:rPr>
          <w:noProof/>
        </w:rPr>
        <w:br/>
        <w:t xml:space="preserve">    </w:t>
      </w:r>
      <w:r w:rsidR="00A9710C">
        <w:rPr>
          <w:rFonts w:ascii="Arial"/>
          <w:color w:val="BF5A14"/>
        </w:rPr>
        <w:t>Biography</w:t>
      </w:r>
      <w:r w:rsidR="00404E5B">
        <w:rPr>
          <w:rFonts w:ascii="Arial"/>
          <w:color w:val="BF5A14"/>
        </w:rPr>
        <w:t xml:space="preserve"> (150 word limit)</w:t>
      </w:r>
      <w:r w:rsidR="00932F14">
        <w:rPr>
          <w:rFonts w:ascii="Arial"/>
          <w:color w:val="BF5A14"/>
        </w:rPr>
        <w:t>*</w:t>
      </w:r>
    </w:p>
    <w:p w:rsidR="00AE3E37" w:rsidRDefault="004224C6">
      <w:pPr>
        <w:spacing w:before="41" w:line="154" w:lineRule="exact"/>
        <w:ind w:left="213" w:right="231"/>
        <w:jc w:val="both"/>
        <w:rPr>
          <w:rFonts w:ascii="Arial"/>
          <w:sz w:val="14"/>
        </w:rPr>
      </w:pPr>
      <w:r>
        <w:rPr>
          <w:rFonts w:ascii="Arial"/>
          <w:sz w:val="14"/>
        </w:rPr>
        <w:t>Gregory LARGILLER has been developing an expertise in the field of materials and processes. After a PhD dealing with powder metallurgy and simulation for industrial issues, he oriented himself to the development of materials for energy and joined the French Institute of Renewable Energies (CEA-</w:t>
      </w:r>
      <w:proofErr w:type="spellStart"/>
      <w:r>
        <w:rPr>
          <w:rFonts w:ascii="Arial"/>
          <w:sz w:val="14"/>
        </w:rPr>
        <w:t>Liten</w:t>
      </w:r>
      <w:proofErr w:type="spellEnd"/>
      <w:r>
        <w:rPr>
          <w:rFonts w:ascii="Arial"/>
          <w:sz w:val="14"/>
        </w:rPr>
        <w:t xml:space="preserve">). His work deals now with the choice, modification and characterization of materials for thermal energy recovery as well as their implementation into technologies. He investigates heat storage for concentrated solar power (CSP), district heating (DH) and waste heat </w:t>
      </w:r>
      <w:r w:rsidR="00833324">
        <w:rPr>
          <w:rFonts w:ascii="Arial"/>
          <w:sz w:val="14"/>
        </w:rPr>
        <w:t>recovery</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134B1E" w:rsidRPr="00134B1E">
        <w:rPr>
          <w:rFonts w:ascii="Arial"/>
          <w:sz w:val="14"/>
        </w:rPr>
        <w:t>gregory.largiller@</w:t>
      </w:r>
      <w:r w:rsidR="00134B1E">
        <w:rPr>
          <w:rFonts w:ascii="Arial"/>
          <w:sz w:val="14"/>
        </w:rPr>
        <w:t>cea.fr</w:t>
      </w:r>
    </w:p>
    <w:bookmarkStart w:id="0" w:name="_GoBack"/>
    <w:bookmarkEnd w:id="0"/>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9D0F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8A2" w:rsidRDefault="004508A2">
      <w:r>
        <w:separator/>
      </w:r>
    </w:p>
  </w:endnote>
  <w:endnote w:type="continuationSeparator" w:id="0">
    <w:p w:rsidR="004508A2" w:rsidRDefault="00450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8A2" w:rsidRDefault="004508A2">
      <w:r>
        <w:separator/>
      </w:r>
    </w:p>
  </w:footnote>
  <w:footnote w:type="continuationSeparator" w:id="0">
    <w:p w:rsidR="004508A2" w:rsidRDefault="00450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33B61" w:rsidRDefault="00A9710C">
                          <w:pPr>
                            <w:spacing w:before="2" w:line="249" w:lineRule="auto"/>
                            <w:ind w:left="156" w:right="18" w:hanging="137"/>
                            <w:rPr>
                              <w:rFonts w:ascii="Arial"/>
                              <w:color w:val="FFFFFF" w:themeColor="background1"/>
                              <w:sz w:val="14"/>
                              <w:lang w:val="fr-FR"/>
                            </w:rPr>
                          </w:pPr>
                          <w:r w:rsidRPr="00433B61">
                            <w:rPr>
                              <w:rFonts w:ascii="Arial"/>
                              <w:color w:val="FFFFFF" w:themeColor="background1"/>
                              <w:sz w:val="14"/>
                              <w:lang w:val="fr-FR"/>
                            </w:rPr>
                            <w:t>T Furuta et al., J Pai n Relief 2016, 5:3(</w:t>
                          </w:r>
                          <w:proofErr w:type="spellStart"/>
                          <w:r w:rsidRPr="00433B61">
                            <w:rPr>
                              <w:rFonts w:ascii="Arial"/>
                              <w:color w:val="FFFFFF" w:themeColor="background1"/>
                              <w:sz w:val="14"/>
                              <w:lang w:val="fr-FR"/>
                            </w:rPr>
                            <w:t>Suppl</w:t>
                          </w:r>
                          <w:proofErr w:type="spellEnd"/>
                          <w:r w:rsidRPr="00433B61">
                            <w:rPr>
                              <w:rFonts w:ascii="Arial"/>
                              <w:color w:val="FFFFFF" w:themeColor="background1"/>
                              <w:sz w:val="14"/>
                              <w:lang w:val="fr-FR"/>
                            </w:rPr>
                            <w:t xml:space="preserve">) </w:t>
                          </w:r>
                          <w:hyperlink r:id="rId1">
                            <w:r w:rsidRPr="00433B61">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433B61" w:rsidRDefault="00A9710C">
                    <w:pPr>
                      <w:spacing w:before="2" w:line="249" w:lineRule="auto"/>
                      <w:ind w:left="156" w:right="18" w:hanging="137"/>
                      <w:rPr>
                        <w:rFonts w:ascii="Arial"/>
                        <w:color w:val="FFFFFF" w:themeColor="background1"/>
                        <w:sz w:val="14"/>
                        <w:lang w:val="fr-FR"/>
                      </w:rPr>
                    </w:pPr>
                    <w:r w:rsidRPr="00433B61">
                      <w:rPr>
                        <w:rFonts w:ascii="Arial"/>
                        <w:color w:val="FFFFFF" w:themeColor="background1"/>
                        <w:sz w:val="14"/>
                        <w:lang w:val="fr-FR"/>
                      </w:rPr>
                      <w:t>T Furuta et al., J Pai n Relief 2016, 5:3(</w:t>
                    </w:r>
                    <w:proofErr w:type="spellStart"/>
                    <w:r w:rsidRPr="00433B61">
                      <w:rPr>
                        <w:rFonts w:ascii="Arial"/>
                        <w:color w:val="FFFFFF" w:themeColor="background1"/>
                        <w:sz w:val="14"/>
                        <w:lang w:val="fr-FR"/>
                      </w:rPr>
                      <w:t>Suppl</w:t>
                    </w:r>
                    <w:proofErr w:type="spellEnd"/>
                    <w:r w:rsidRPr="00433B61">
                      <w:rPr>
                        <w:rFonts w:ascii="Arial"/>
                        <w:color w:val="FFFFFF" w:themeColor="background1"/>
                        <w:sz w:val="14"/>
                        <w:lang w:val="fr-FR"/>
                      </w:rPr>
                      <w:t xml:space="preserve">) </w:t>
                    </w:r>
                    <w:hyperlink r:id="rId2">
                      <w:r w:rsidRPr="00433B61">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887"/>
    <w:rsid w:val="000E2911"/>
    <w:rsid w:val="001263DF"/>
    <w:rsid w:val="00134B1E"/>
    <w:rsid w:val="00246911"/>
    <w:rsid w:val="00292ED9"/>
    <w:rsid w:val="003D4F54"/>
    <w:rsid w:val="00404E5B"/>
    <w:rsid w:val="00414F7B"/>
    <w:rsid w:val="004224C6"/>
    <w:rsid w:val="00433B61"/>
    <w:rsid w:val="004355DC"/>
    <w:rsid w:val="004508A2"/>
    <w:rsid w:val="00464D85"/>
    <w:rsid w:val="0046741F"/>
    <w:rsid w:val="004749B4"/>
    <w:rsid w:val="00494130"/>
    <w:rsid w:val="004A3F11"/>
    <w:rsid w:val="004F3523"/>
    <w:rsid w:val="005973B9"/>
    <w:rsid w:val="005B3A56"/>
    <w:rsid w:val="006060CE"/>
    <w:rsid w:val="0063497F"/>
    <w:rsid w:val="006C79AC"/>
    <w:rsid w:val="00725FFB"/>
    <w:rsid w:val="007D0DCC"/>
    <w:rsid w:val="00833324"/>
    <w:rsid w:val="00873DF0"/>
    <w:rsid w:val="008756E6"/>
    <w:rsid w:val="00932F14"/>
    <w:rsid w:val="009B2D44"/>
    <w:rsid w:val="00A07E82"/>
    <w:rsid w:val="00A911C7"/>
    <w:rsid w:val="00A9710C"/>
    <w:rsid w:val="00AE3E37"/>
    <w:rsid w:val="00B21A57"/>
    <w:rsid w:val="00C33602"/>
    <w:rsid w:val="00C42B4A"/>
    <w:rsid w:val="00C93939"/>
    <w:rsid w:val="00CD6F55"/>
    <w:rsid w:val="00DE3104"/>
    <w:rsid w:val="00F72EEA"/>
    <w:rsid w:val="00F84CAE"/>
    <w:rsid w:val="00FA70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021BE"/>
  <w15:docId w15:val="{3AFA4553-F89C-4B01-B1E3-D7DFFCEA7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Abstract">
    <w:name w:val="Abstract"/>
    <w:uiPriority w:val="99"/>
    <w:rsid w:val="00433B61"/>
    <w:pPr>
      <w:widowControl/>
      <w:spacing w:after="200"/>
      <w:ind w:firstLine="274"/>
      <w:jc w:val="both"/>
    </w:pPr>
    <w:rPr>
      <w:rFonts w:ascii="Times New Roman" w:eastAsia="Times New Roman" w:hAnsi="Times New Roman" w:cs="Times New Roman"/>
      <w:b/>
      <w:bCs/>
      <w:sz w:val="18"/>
      <w:szCs w:val="18"/>
    </w:rPr>
  </w:style>
  <w:style w:type="paragraph" w:customStyle="1" w:styleId="papertitle">
    <w:name w:val="paper title"/>
    <w:uiPriority w:val="99"/>
    <w:rsid w:val="00433B61"/>
    <w:pPr>
      <w:widowControl/>
      <w:spacing w:after="120"/>
      <w:jc w:val="center"/>
    </w:pPr>
    <w:rPr>
      <w:rFonts w:ascii="Times New Roman" w:eastAsia="Times New Roman" w:hAnsi="Times New Roman" w:cs="Times New Roman"/>
      <w:bCs/>
      <w:noProof/>
      <w:sz w:val="48"/>
      <w:szCs w:val="48"/>
    </w:rPr>
  </w:style>
  <w:style w:type="paragraph" w:customStyle="1" w:styleId="Affiliation">
    <w:name w:val="Affiliation"/>
    <w:uiPriority w:val="99"/>
    <w:rsid w:val="00433B61"/>
    <w:pPr>
      <w:widowControl/>
      <w:jc w:val="center"/>
    </w:pPr>
    <w:rPr>
      <w:rFonts w:ascii="Times New Roman" w:eastAsia="Times New Roman" w:hAnsi="Times New Roman" w:cs="Times New Roman"/>
      <w:sz w:val="20"/>
      <w:szCs w:val="20"/>
    </w:rPr>
  </w:style>
  <w:style w:type="paragraph" w:styleId="Lgende">
    <w:name w:val="caption"/>
    <w:basedOn w:val="Normal"/>
    <w:next w:val="Normal"/>
    <w:uiPriority w:val="35"/>
    <w:unhideWhenUsed/>
    <w:qFormat/>
    <w:rsid w:val="003D4F54"/>
    <w:pPr>
      <w:widowControl/>
      <w:tabs>
        <w:tab w:val="left" w:pos="0"/>
        <w:tab w:val="left" w:pos="288"/>
        <w:tab w:val="left" w:pos="567"/>
      </w:tabs>
      <w:spacing w:after="120" w:line="228" w:lineRule="auto"/>
    </w:pPr>
    <w:rPr>
      <w:rFonts w:ascii="Times New Roman" w:eastAsia="MS Mincho" w:hAnsi="Times New Roman" w:cs="Times New Roman"/>
      <w:bCs/>
      <w:spacing w:val="-1"/>
      <w:sz w:val="16"/>
      <w:szCs w:val="20"/>
    </w:rPr>
  </w:style>
  <w:style w:type="paragraph" w:styleId="Bibliographie">
    <w:name w:val="Bibliography"/>
    <w:basedOn w:val="Normal"/>
    <w:next w:val="Normal"/>
    <w:uiPriority w:val="37"/>
    <w:unhideWhenUsed/>
    <w:rsid w:val="003D4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1571</Words>
  <Characters>8642</Characters>
  <Application>Microsoft Office Word</Application>
  <DocSecurity>0</DocSecurity>
  <Lines>72</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LARGILLER Grégory 237155</cp:lastModifiedBy>
  <cp:revision>13</cp:revision>
  <dcterms:created xsi:type="dcterms:W3CDTF">2020-02-21T14:27:00Z</dcterms:created>
  <dcterms:modified xsi:type="dcterms:W3CDTF">2020-02-21T15:40:00Z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