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1A2C4E" w:rsidP="00494130">
      <w:pPr>
        <w:pStyle w:val="Heading1"/>
        <w:spacing w:before="170"/>
        <w:ind w:left="0"/>
      </w:pPr>
      <w:r>
        <w:rPr>
          <w:color w:val="337AB7"/>
        </w:rPr>
        <w:t>Metal</w:t>
      </w:r>
      <w:r w:rsidR="00357983">
        <w:rPr>
          <w:color w:val="337AB7"/>
        </w:rPr>
        <w:t xml:space="preserve">-organic framework </w:t>
      </w:r>
      <w:r>
        <w:rPr>
          <w:color w:val="337AB7"/>
        </w:rPr>
        <w:t>doped reduced graphene oxide and polyaniline composite electrodes for supercapacitor</w:t>
      </w:r>
    </w:p>
    <w:p w:rsidR="00BD338F" w:rsidRDefault="00BD338F" w:rsidP="005973B9">
      <w:pPr>
        <w:pStyle w:val="BodyText"/>
        <w:spacing w:before="73" w:line="198" w:lineRule="exact"/>
        <w:ind w:left="100" w:right="5987"/>
        <w:rPr>
          <w:rFonts w:ascii="Arial"/>
        </w:rPr>
      </w:pPr>
    </w:p>
    <w:p w:rsidR="001A2C4E" w:rsidRDefault="00BD338F" w:rsidP="001A2C4E">
      <w:pPr>
        <w:pStyle w:val="BodyText"/>
        <w:spacing w:before="73" w:line="198" w:lineRule="exact"/>
        <w:ind w:left="100" w:right="5987"/>
        <w:rPr>
          <w:rFonts w:ascii="Arial"/>
        </w:rPr>
      </w:pPr>
      <w:r>
        <w:rPr>
          <w:rFonts w:ascii="Arial"/>
        </w:rPr>
        <w:t>Le Quoc Bao</w:t>
      </w:r>
      <w:r w:rsidR="001A2C4E" w:rsidRPr="001A2C4E">
        <w:rPr>
          <w:rFonts w:ascii="Arial"/>
          <w:vertAlign w:val="superscript"/>
        </w:rPr>
        <w:t>1,2,*</w:t>
      </w:r>
      <w:r w:rsidR="005973B9">
        <w:rPr>
          <w:rFonts w:ascii="Arial"/>
        </w:rPr>
        <w:t xml:space="preserve">, PhD, </w:t>
      </w:r>
    </w:p>
    <w:p w:rsidR="001A2C4E" w:rsidRDefault="001A2C4E" w:rsidP="001A2C4E">
      <w:pPr>
        <w:pStyle w:val="BodyText"/>
        <w:spacing w:before="73" w:line="198" w:lineRule="exact"/>
        <w:ind w:left="100" w:right="5987"/>
        <w:rPr>
          <w:rFonts w:ascii="Arial"/>
        </w:rPr>
      </w:pPr>
      <w:r>
        <w:rPr>
          <w:rFonts w:ascii="Arial"/>
        </w:rPr>
        <w:t>Elif Vargun</w:t>
      </w:r>
      <w:r>
        <w:rPr>
          <w:rFonts w:ascii="Arial"/>
          <w:vertAlign w:val="superscript"/>
        </w:rPr>
        <w:t>1</w:t>
      </w:r>
      <w:r>
        <w:rPr>
          <w:rFonts w:ascii="Arial"/>
        </w:rPr>
        <w:t xml:space="preserve">, PhD, </w:t>
      </w:r>
    </w:p>
    <w:p w:rsidR="001A2C4E" w:rsidRDefault="001A2C4E" w:rsidP="001A2C4E">
      <w:pPr>
        <w:pStyle w:val="BodyText"/>
        <w:spacing w:line="198" w:lineRule="exact"/>
        <w:ind w:left="100" w:right="5987"/>
        <w:rPr>
          <w:rFonts w:ascii="Arial"/>
        </w:rPr>
      </w:pPr>
      <w:r>
        <w:rPr>
          <w:rFonts w:ascii="Arial"/>
        </w:rPr>
        <w:t>Haojie Fei</w:t>
      </w:r>
      <w:r w:rsidRPr="005D2F22">
        <w:rPr>
          <w:rFonts w:ascii="Arial"/>
          <w:vertAlign w:val="superscript"/>
        </w:rPr>
        <w:t>1</w:t>
      </w:r>
      <w:r>
        <w:rPr>
          <w:rFonts w:ascii="Arial"/>
        </w:rPr>
        <w:t>,</w:t>
      </w:r>
      <w:r w:rsidRPr="005D2F22">
        <w:rPr>
          <w:rFonts w:ascii="Arial"/>
        </w:rPr>
        <w:t xml:space="preserve"> </w:t>
      </w:r>
      <w:r>
        <w:rPr>
          <w:rFonts w:ascii="Arial"/>
        </w:rPr>
        <w:t>PhD,</w:t>
      </w:r>
      <w:r w:rsidRPr="001A2C4E">
        <w:rPr>
          <w:rFonts w:ascii="Arial"/>
        </w:rPr>
        <w:t xml:space="preserve"> </w:t>
      </w:r>
    </w:p>
    <w:p w:rsidR="001A2C4E" w:rsidRDefault="001A2C4E" w:rsidP="001A2C4E">
      <w:pPr>
        <w:pStyle w:val="BodyText"/>
        <w:spacing w:line="198" w:lineRule="exact"/>
        <w:ind w:left="100" w:right="5987"/>
        <w:rPr>
          <w:rFonts w:ascii="Arial"/>
        </w:rPr>
      </w:pPr>
      <w:r w:rsidRPr="005D2F22">
        <w:rPr>
          <w:rFonts w:ascii="Arial"/>
        </w:rPr>
        <w:t>Natalia Kazantseva</w:t>
      </w:r>
      <w:r w:rsidRPr="005D2F22">
        <w:rPr>
          <w:rFonts w:ascii="Arial"/>
          <w:vertAlign w:val="superscript"/>
        </w:rPr>
        <w:t>1</w:t>
      </w:r>
      <w:r>
        <w:rPr>
          <w:rFonts w:ascii="Arial"/>
        </w:rPr>
        <w:t>, Prof. Dr.,</w:t>
      </w:r>
    </w:p>
    <w:p w:rsidR="001A2C4E" w:rsidRDefault="001A2C4E" w:rsidP="001A2C4E">
      <w:pPr>
        <w:pStyle w:val="BodyText"/>
        <w:spacing w:line="198" w:lineRule="exact"/>
        <w:ind w:left="100" w:right="5987"/>
        <w:rPr>
          <w:rFonts w:ascii="Arial"/>
        </w:rPr>
      </w:pPr>
      <w:r>
        <w:rPr>
          <w:rFonts w:ascii="Arial"/>
        </w:rPr>
        <w:t>Petr Saha</w:t>
      </w:r>
      <w:r w:rsidRPr="005D2F22">
        <w:rPr>
          <w:rFonts w:ascii="Arial"/>
          <w:vertAlign w:val="superscript"/>
        </w:rPr>
        <w:t>1</w:t>
      </w:r>
      <w:r>
        <w:rPr>
          <w:rFonts w:ascii="Arial"/>
        </w:rPr>
        <w:t>,</w:t>
      </w:r>
      <w:r w:rsidRPr="005D2F22">
        <w:rPr>
          <w:rFonts w:ascii="Arial"/>
        </w:rPr>
        <w:t xml:space="preserve"> </w:t>
      </w:r>
      <w:r>
        <w:rPr>
          <w:rFonts w:ascii="Arial"/>
        </w:rPr>
        <w:t>Prof. Dr.,</w:t>
      </w:r>
    </w:p>
    <w:p w:rsidR="001A2C4E" w:rsidRDefault="001A2C4E" w:rsidP="001A2C4E">
      <w:pPr>
        <w:pStyle w:val="BodyText"/>
        <w:rPr>
          <w:rFonts w:ascii="Arial"/>
        </w:rPr>
      </w:pPr>
      <w:r>
        <w:rPr>
          <w:rFonts w:ascii="Arial"/>
        </w:rPr>
        <w:t>1.</w:t>
      </w:r>
      <w:r w:rsidRPr="005D2F22">
        <w:t xml:space="preserve"> </w:t>
      </w:r>
      <w:r w:rsidRPr="005D2F22">
        <w:rPr>
          <w:rFonts w:ascii="Arial"/>
        </w:rPr>
        <w:t>Centre of Polymer Systems, Tomas Bata University in Zl</w:t>
      </w:r>
      <w:r w:rsidRPr="005D2F22">
        <w:rPr>
          <w:rFonts w:ascii="Arial"/>
        </w:rPr>
        <w:t>í</w:t>
      </w:r>
      <w:r w:rsidRPr="005D2F22">
        <w:rPr>
          <w:rFonts w:ascii="Arial"/>
        </w:rPr>
        <w:t>n, T</w:t>
      </w:r>
      <w:r w:rsidRPr="005D2F22">
        <w:rPr>
          <w:rFonts w:ascii="Arial"/>
        </w:rPr>
        <w:t>ř</w:t>
      </w:r>
      <w:r w:rsidRPr="005D2F22">
        <w:rPr>
          <w:rFonts w:ascii="Arial"/>
        </w:rPr>
        <w:t>. T. Bati 5678, 760 01, Zl</w:t>
      </w:r>
      <w:r w:rsidRPr="005D2F22">
        <w:rPr>
          <w:rFonts w:ascii="Arial"/>
        </w:rPr>
        <w:t>í</w:t>
      </w:r>
      <w:r w:rsidRPr="005D2F22">
        <w:rPr>
          <w:rFonts w:ascii="Arial"/>
        </w:rPr>
        <w:t>n, Czech Republic.</w:t>
      </w:r>
    </w:p>
    <w:p w:rsidR="001A2C4E" w:rsidRDefault="001A2C4E" w:rsidP="001A2C4E">
      <w:pPr>
        <w:pStyle w:val="BodyText"/>
        <w:rPr>
          <w:rFonts w:ascii="Arial"/>
          <w:sz w:val="20"/>
        </w:rPr>
      </w:pPr>
      <w:r>
        <w:rPr>
          <w:rFonts w:ascii="Arial"/>
        </w:rPr>
        <w:t>2.</w:t>
      </w:r>
      <w:r w:rsidRPr="005D2F22">
        <w:t xml:space="preserve"> </w:t>
      </w:r>
      <w:r w:rsidRPr="001A2C4E">
        <w:rPr>
          <w:rFonts w:ascii="Arial"/>
        </w:rPr>
        <w:t>Faculty of Applied Sciences, Ton Duc Thang University, Ho Chi Minh City, Vietnam.</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AE3E37" w:rsidRDefault="006635A9" w:rsidP="00BD338F">
      <w:pPr>
        <w:pStyle w:val="Heading3"/>
        <w:spacing w:before="74"/>
        <w:jc w:val="both"/>
      </w:pPr>
      <w:r>
        <w:rPr>
          <w:rFonts w:ascii="Tw Cen MT" w:eastAsia="Tw Cen MT" w:hAnsi="Tw Cen MT" w:cs="Tw Cen MT"/>
          <w:b w:val="0"/>
          <w:bCs w:val="0"/>
          <w:sz w:val="18"/>
          <w:szCs w:val="18"/>
        </w:rPr>
        <w:t>Recently,</w:t>
      </w:r>
      <w:r w:rsidR="008D707D" w:rsidRPr="008D707D">
        <w:rPr>
          <w:rFonts w:ascii="Tw Cen MT" w:eastAsia="Tw Cen MT" w:hAnsi="Tw Cen MT" w:cs="Tw Cen MT"/>
          <w:b w:val="0"/>
          <w:bCs w:val="0"/>
          <w:sz w:val="18"/>
          <w:szCs w:val="18"/>
        </w:rPr>
        <w:t xml:space="preserve"> carbon-based materials such as graphene oxide or reduced graphene oxide (rGO) had </w:t>
      </w:r>
      <w:r>
        <w:rPr>
          <w:rFonts w:ascii="Tw Cen MT" w:eastAsia="Tw Cen MT" w:hAnsi="Tw Cen MT" w:cs="Tw Cen MT"/>
          <w:b w:val="0"/>
          <w:bCs w:val="0"/>
          <w:sz w:val="18"/>
          <w:szCs w:val="18"/>
        </w:rPr>
        <w:t xml:space="preserve">been </w:t>
      </w:r>
      <w:r w:rsidR="001A2C4E">
        <w:rPr>
          <w:rFonts w:ascii="Tw Cen MT" w:eastAsia="Tw Cen MT" w:hAnsi="Tw Cen MT" w:cs="Tw Cen MT"/>
          <w:b w:val="0"/>
          <w:bCs w:val="0"/>
          <w:sz w:val="18"/>
          <w:szCs w:val="18"/>
        </w:rPr>
        <w:t>widely investigated as electrodes for supercapacitors (SCs) owing to their good electrical properties</w:t>
      </w:r>
      <w:r w:rsidR="00091D35" w:rsidRPr="008D707D">
        <w:rPr>
          <w:rFonts w:ascii="Tw Cen MT" w:eastAsia="Tw Cen MT" w:hAnsi="Tw Cen MT" w:cs="Tw Cen MT"/>
          <w:b w:val="0"/>
          <w:bCs w:val="0"/>
          <w:sz w:val="18"/>
          <w:szCs w:val="18"/>
        </w:rPr>
        <w:t>.</w:t>
      </w:r>
      <w:r w:rsidR="00091D35">
        <w:rPr>
          <w:rFonts w:ascii="Tw Cen MT" w:eastAsia="Tw Cen MT" w:hAnsi="Tw Cen MT" w:cs="Tw Cen MT"/>
          <w:b w:val="0"/>
          <w:bCs w:val="0"/>
          <w:sz w:val="18"/>
          <w:szCs w:val="18"/>
        </w:rPr>
        <w:t xml:space="preserve"> However, </w:t>
      </w:r>
      <w:r w:rsidR="008D707D" w:rsidRPr="008D707D">
        <w:rPr>
          <w:rFonts w:ascii="Tw Cen MT" w:eastAsia="Tw Cen MT" w:hAnsi="Tw Cen MT" w:cs="Tw Cen MT"/>
          <w:b w:val="0"/>
          <w:bCs w:val="0"/>
          <w:sz w:val="18"/>
          <w:szCs w:val="18"/>
        </w:rPr>
        <w:t xml:space="preserve">drawbacks of carbon-based materials such as low specific area and hard to fabricate had </w:t>
      </w:r>
      <w:r w:rsidR="00091D35">
        <w:rPr>
          <w:rFonts w:ascii="Tw Cen MT" w:eastAsia="Tw Cen MT" w:hAnsi="Tw Cen MT" w:cs="Tw Cen MT"/>
          <w:b w:val="0"/>
          <w:bCs w:val="0"/>
          <w:sz w:val="18"/>
          <w:szCs w:val="18"/>
        </w:rPr>
        <w:t>hindered their applications.</w:t>
      </w:r>
      <w:r w:rsidR="008D707D" w:rsidRPr="008D707D">
        <w:rPr>
          <w:rFonts w:ascii="Tw Cen MT" w:eastAsia="Tw Cen MT" w:hAnsi="Tw Cen MT" w:cs="Tw Cen MT"/>
          <w:b w:val="0"/>
          <w:bCs w:val="0"/>
          <w:sz w:val="18"/>
          <w:szCs w:val="18"/>
        </w:rPr>
        <w:t xml:space="preserve"> In order to solve these problems, researchers had concentrated on the composite materials which should combine the advantages of their components. Recently, </w:t>
      </w:r>
      <w:r w:rsidR="008D707D">
        <w:rPr>
          <w:rFonts w:ascii="Tw Cen MT" w:eastAsia="Tw Cen MT" w:hAnsi="Tw Cen MT" w:cs="Tw Cen MT"/>
          <w:b w:val="0"/>
          <w:bCs w:val="0"/>
          <w:sz w:val="18"/>
          <w:szCs w:val="18"/>
        </w:rPr>
        <w:t>p</w:t>
      </w:r>
      <w:r w:rsidR="00091D35">
        <w:rPr>
          <w:rFonts w:ascii="Tw Cen MT" w:eastAsia="Tw Cen MT" w:hAnsi="Tw Cen MT" w:cs="Tw Cen MT"/>
          <w:b w:val="0"/>
          <w:bCs w:val="0"/>
          <w:sz w:val="18"/>
          <w:szCs w:val="18"/>
        </w:rPr>
        <w:t>olyaniline (PANI) have been acquired great attention</w:t>
      </w:r>
      <w:r w:rsidR="008D707D" w:rsidRPr="008D707D">
        <w:rPr>
          <w:rFonts w:ascii="Tw Cen MT" w:eastAsia="Tw Cen MT" w:hAnsi="Tw Cen MT" w:cs="Tw Cen MT"/>
          <w:b w:val="0"/>
          <w:bCs w:val="0"/>
          <w:sz w:val="18"/>
          <w:szCs w:val="18"/>
        </w:rPr>
        <w:t xml:space="preserve"> as one of the potential materials for SC</w:t>
      </w:r>
      <w:r w:rsidR="008D707D">
        <w:rPr>
          <w:rFonts w:ascii="Tw Cen MT" w:eastAsia="Tw Cen MT" w:hAnsi="Tw Cen MT" w:cs="Tw Cen MT"/>
          <w:b w:val="0"/>
          <w:bCs w:val="0"/>
          <w:sz w:val="18"/>
          <w:szCs w:val="18"/>
        </w:rPr>
        <w:t>s</w:t>
      </w:r>
      <w:r w:rsidR="008D707D" w:rsidRPr="008D707D">
        <w:rPr>
          <w:rFonts w:ascii="Tw Cen MT" w:eastAsia="Tw Cen MT" w:hAnsi="Tw Cen MT" w:cs="Tw Cen MT"/>
          <w:b w:val="0"/>
          <w:bCs w:val="0"/>
          <w:sz w:val="18"/>
          <w:szCs w:val="18"/>
        </w:rPr>
        <w:t xml:space="preserve"> application</w:t>
      </w:r>
      <w:r w:rsidR="00BD338F" w:rsidRPr="00BD338F">
        <w:rPr>
          <w:rFonts w:ascii="Tw Cen MT" w:eastAsia="Tw Cen MT" w:hAnsi="Tw Cen MT" w:cs="Tw Cen MT"/>
          <w:b w:val="0"/>
          <w:bCs w:val="0"/>
          <w:sz w:val="18"/>
          <w:szCs w:val="18"/>
        </w:rPr>
        <w:t xml:space="preserve"> because of their good pseudo-capacitive performance as well as facile synthesis and low cost</w:t>
      </w:r>
      <w:r w:rsidR="00BD338F">
        <w:rPr>
          <w:rFonts w:ascii="Tw Cen MT" w:eastAsia="Tw Cen MT" w:hAnsi="Tw Cen MT" w:cs="Tw Cen MT"/>
          <w:b w:val="0"/>
          <w:bCs w:val="0"/>
          <w:sz w:val="18"/>
          <w:szCs w:val="18"/>
        </w:rPr>
        <w:t>.</w:t>
      </w:r>
      <w:r w:rsidR="00BD338F" w:rsidRPr="00BD338F">
        <w:rPr>
          <w:rFonts w:ascii="Tw Cen MT" w:eastAsia="Tw Cen MT" w:hAnsi="Tw Cen MT" w:cs="Tw Cen MT"/>
          <w:b w:val="0"/>
          <w:bCs w:val="0"/>
          <w:sz w:val="18"/>
          <w:szCs w:val="18"/>
        </w:rPr>
        <w:t xml:space="preserve"> </w:t>
      </w:r>
      <w:r w:rsidR="001A2C4E" w:rsidRPr="001A2C4E">
        <w:rPr>
          <w:rFonts w:ascii="Tw Cen MT" w:eastAsia="Tw Cen MT" w:hAnsi="Tw Cen MT" w:cs="Tw Cen MT"/>
          <w:b w:val="0"/>
          <w:bCs w:val="0"/>
          <w:sz w:val="18"/>
          <w:szCs w:val="18"/>
        </w:rPr>
        <w:t>However, PANI exhibited poor cycling stability through charge-discharge processes over long periods of time which restrain its application in SCs.</w:t>
      </w:r>
      <w:r>
        <w:rPr>
          <w:rFonts w:ascii="Tw Cen MT" w:eastAsia="Tw Cen MT" w:hAnsi="Tw Cen MT" w:cs="Tw Cen MT"/>
          <w:b w:val="0"/>
          <w:bCs w:val="0"/>
          <w:sz w:val="18"/>
          <w:szCs w:val="18"/>
        </w:rPr>
        <w:t xml:space="preserve"> </w:t>
      </w:r>
      <w:r w:rsidR="00934B85" w:rsidRPr="00934B85">
        <w:rPr>
          <w:rFonts w:ascii="Tw Cen MT" w:eastAsia="Tw Cen MT" w:hAnsi="Tw Cen MT" w:cs="Tw Cen MT"/>
          <w:b w:val="0"/>
          <w:bCs w:val="0"/>
          <w:sz w:val="18"/>
          <w:szCs w:val="18"/>
        </w:rPr>
        <w:t>In this study hybrid nanomaterial based on rGO and PANI will be prepared and electrochemical storage capacity will be enhanced by</w:t>
      </w:r>
      <w:r w:rsidR="00934B85">
        <w:rPr>
          <w:rFonts w:ascii="Tw Cen MT" w:eastAsia="Tw Cen MT" w:hAnsi="Tw Cen MT" w:cs="Tw Cen MT"/>
          <w:b w:val="0"/>
          <w:bCs w:val="0"/>
          <w:sz w:val="18"/>
          <w:szCs w:val="18"/>
        </w:rPr>
        <w:t xml:space="preserve"> metal-organic framework (MOF).</w:t>
      </w:r>
      <w:r w:rsidR="00BD338F" w:rsidRPr="00BD338F">
        <w:rPr>
          <w:rFonts w:ascii="Tw Cen MT" w:eastAsia="Tw Cen MT" w:hAnsi="Tw Cen MT" w:cs="Tw Cen MT"/>
          <w:b w:val="0"/>
          <w:bCs w:val="0"/>
          <w:sz w:val="18"/>
          <w:szCs w:val="18"/>
        </w:rPr>
        <w:t xml:space="preserve"> Since being introduced, the crystalline porous MOFs, in which metal ions and clusters are linked by organic units had required intensive attention from scientists. MOF materials exhibited high surface area, high stability, large pore volume and </w:t>
      </w:r>
      <w:r w:rsidR="00934B85">
        <w:rPr>
          <w:rFonts w:ascii="Tw Cen MT" w:eastAsia="Tw Cen MT" w:hAnsi="Tw Cen MT" w:cs="Tw Cen MT"/>
          <w:b w:val="0"/>
          <w:bCs w:val="0"/>
          <w:sz w:val="18"/>
          <w:szCs w:val="18"/>
        </w:rPr>
        <w:t xml:space="preserve">organic functionality which </w:t>
      </w:r>
      <w:r w:rsidR="00BD338F" w:rsidRPr="00BD338F">
        <w:rPr>
          <w:rFonts w:ascii="Tw Cen MT" w:eastAsia="Tw Cen MT" w:hAnsi="Tw Cen MT" w:cs="Tw Cen MT"/>
          <w:b w:val="0"/>
          <w:bCs w:val="0"/>
          <w:sz w:val="18"/>
          <w:szCs w:val="18"/>
        </w:rPr>
        <w:t>led to their potential application in electrochemical devices. Moreover, the availability of various kinds of metal ions and organic linkers has provided thousands of choice for MOF with many potential applications. The composite of rGO and PANI in this study will be conducted via in situ polymerization following by doping of MOF on this structure. The electrochemical properties of those composites will be studied via cyclic voltammetry (CV) and galvanostatic charge-discharge test to identify the effects of conductive polymers to the materials electrochemical properties.</w:t>
      </w:r>
    </w:p>
    <w:p w:rsidR="00AE3E37" w:rsidRDefault="00AE3E37">
      <w:pPr>
        <w:pStyle w:val="BodyText"/>
        <w:spacing w:before="2"/>
        <w:rPr>
          <w:rFonts w:ascii="Arial"/>
          <w:b/>
          <w:sz w:val="16"/>
        </w:rPr>
      </w:pPr>
    </w:p>
    <w:p w:rsidR="005973B9" w:rsidRDefault="00BD338F" w:rsidP="005973B9">
      <w:pPr>
        <w:spacing w:line="204" w:lineRule="exact"/>
        <w:rPr>
          <w:rFonts w:ascii="Arial"/>
          <w:b/>
          <w:sz w:val="20"/>
        </w:rPr>
      </w:pPr>
      <w:r>
        <w:rPr>
          <w:rFonts w:ascii="Arial"/>
          <w:b/>
          <w:color w:val="BF5A14"/>
          <w:sz w:val="20"/>
        </w:rPr>
        <w:br/>
      </w:r>
      <w:r>
        <w:rPr>
          <w:rFonts w:ascii="Arial"/>
          <w:b/>
          <w:color w:val="BF5A14"/>
          <w:sz w:val="20"/>
        </w:rPr>
        <w:t>Recent Publications</w:t>
      </w:r>
    </w:p>
    <w:p w:rsidR="00452B91" w:rsidRPr="005C016E" w:rsidRDefault="00452B91" w:rsidP="00BD338F">
      <w:pPr>
        <w:numPr>
          <w:ilvl w:val="0"/>
          <w:numId w:val="4"/>
        </w:numPr>
        <w:tabs>
          <w:tab w:val="left" w:pos="384"/>
        </w:tabs>
        <w:ind w:right="117"/>
        <w:rPr>
          <w:rFonts w:ascii="Calibri" w:eastAsia="Calibri" w:hAnsi="Calibri" w:cs="Calibri"/>
          <w:sz w:val="18"/>
        </w:rPr>
      </w:pPr>
      <w:r w:rsidRPr="005C016E">
        <w:rPr>
          <w:rFonts w:ascii="Calibri" w:eastAsia="Calibri" w:hAnsi="Calibri" w:cs="Calibri"/>
          <w:sz w:val="18"/>
        </w:rPr>
        <w:t>Le Quoc Bao, S. Thogiti, G. Koyyada, J. H. Kim, “</w:t>
      </w:r>
      <w:r w:rsidRPr="005C016E">
        <w:rPr>
          <w:rFonts w:ascii="Calibri" w:eastAsia="Calibri" w:hAnsi="Calibri" w:cs="Calibri"/>
          <w:i/>
          <w:sz w:val="18"/>
        </w:rPr>
        <w:t>Synthesis and photovoltaic performance of novel ullazine-based organic dyes for dye-sensitized solar cells</w:t>
      </w:r>
      <w:r w:rsidRPr="005C016E">
        <w:rPr>
          <w:rFonts w:ascii="Calibri" w:eastAsia="Calibri" w:hAnsi="Calibri" w:cs="Calibri"/>
          <w:sz w:val="18"/>
        </w:rPr>
        <w:t>”, Japanese Journal of Applied Physics, 2019, 58, 012011</w:t>
      </w:r>
      <w:r w:rsidR="005C016E">
        <w:rPr>
          <w:rFonts w:ascii="Calibri" w:eastAsia="Calibri" w:hAnsi="Calibri" w:cs="Calibri"/>
          <w:sz w:val="18"/>
        </w:rPr>
        <w:t>.</w:t>
      </w:r>
      <w:bookmarkStart w:id="0" w:name="_GoBack"/>
      <w:bookmarkEnd w:id="0"/>
    </w:p>
    <w:p w:rsidR="006C2878" w:rsidRPr="005C016E" w:rsidRDefault="00B847C2" w:rsidP="00BD338F">
      <w:pPr>
        <w:numPr>
          <w:ilvl w:val="0"/>
          <w:numId w:val="4"/>
        </w:numPr>
        <w:tabs>
          <w:tab w:val="left" w:pos="384"/>
        </w:tabs>
        <w:ind w:right="117"/>
        <w:rPr>
          <w:rFonts w:ascii="Calibri" w:eastAsia="Calibri" w:hAnsi="Calibri" w:cs="Calibri"/>
          <w:sz w:val="18"/>
        </w:rPr>
      </w:pPr>
      <w:r w:rsidRPr="005C016E">
        <w:rPr>
          <w:rFonts w:ascii="Calibri" w:eastAsia="Calibri" w:hAnsi="Calibri" w:cs="Calibri"/>
          <w:sz w:val="18"/>
        </w:rPr>
        <w:t xml:space="preserve">P. Ho, S. Thogiti, </w:t>
      </w:r>
      <w:r w:rsidRPr="005C016E">
        <w:rPr>
          <w:rFonts w:ascii="Calibri" w:eastAsia="Calibri" w:hAnsi="Calibri" w:cs="Calibri"/>
          <w:bCs/>
          <w:sz w:val="18"/>
        </w:rPr>
        <w:t>Le Quoc Bao</w:t>
      </w:r>
      <w:r w:rsidRPr="005C016E">
        <w:rPr>
          <w:rFonts w:ascii="Calibri" w:eastAsia="Calibri" w:hAnsi="Calibri" w:cs="Calibri"/>
          <w:sz w:val="18"/>
        </w:rPr>
        <w:t>, R. Cheruku, K.-S. Ahn and J. H. Kim, “</w:t>
      </w:r>
      <w:r w:rsidRPr="005C016E">
        <w:rPr>
          <w:rFonts w:ascii="Calibri" w:eastAsia="Calibri" w:hAnsi="Calibri" w:cs="Calibri"/>
          <w:i/>
          <w:iCs/>
          <w:sz w:val="18"/>
        </w:rPr>
        <w:t>Enhanced efficiency via blocking layers at photocathode interfaces in cobalt-mediated tandem dye-sensitized solar cells</w:t>
      </w:r>
      <w:r w:rsidRPr="005C016E">
        <w:rPr>
          <w:rFonts w:ascii="Calibri" w:eastAsia="Calibri" w:hAnsi="Calibri" w:cs="Calibri"/>
          <w:sz w:val="18"/>
        </w:rPr>
        <w:t xml:space="preserve">”, </w:t>
      </w:r>
      <w:r w:rsidRPr="005C016E">
        <w:rPr>
          <w:rFonts w:ascii="Calibri" w:eastAsia="Calibri" w:hAnsi="Calibri" w:cs="Calibri"/>
          <w:bCs/>
          <w:sz w:val="18"/>
        </w:rPr>
        <w:t>Solar Energy</w:t>
      </w:r>
      <w:r w:rsidRPr="005C016E">
        <w:rPr>
          <w:rFonts w:ascii="Calibri" w:eastAsia="Calibri" w:hAnsi="Calibri" w:cs="Calibri"/>
          <w:sz w:val="18"/>
        </w:rPr>
        <w:t xml:space="preserve">, 2018, 161, 9 - 16. </w:t>
      </w:r>
    </w:p>
    <w:p w:rsidR="006C2878" w:rsidRPr="005C016E" w:rsidRDefault="00B847C2" w:rsidP="00BD338F">
      <w:pPr>
        <w:numPr>
          <w:ilvl w:val="0"/>
          <w:numId w:val="4"/>
        </w:numPr>
        <w:tabs>
          <w:tab w:val="left" w:pos="384"/>
        </w:tabs>
        <w:ind w:right="117"/>
        <w:rPr>
          <w:rFonts w:ascii="Calibri" w:eastAsia="Calibri" w:hAnsi="Calibri" w:cs="Calibri"/>
          <w:sz w:val="18"/>
        </w:rPr>
      </w:pPr>
      <w:r w:rsidRPr="005C016E">
        <w:rPr>
          <w:rFonts w:ascii="Calibri" w:eastAsia="Calibri" w:hAnsi="Calibri" w:cs="Calibri"/>
          <w:bCs/>
          <w:sz w:val="18"/>
        </w:rPr>
        <w:t>Le Quoc Bao</w:t>
      </w:r>
      <w:r w:rsidRPr="005C016E">
        <w:rPr>
          <w:rFonts w:ascii="Calibri" w:eastAsia="Calibri" w:hAnsi="Calibri" w:cs="Calibri"/>
          <w:sz w:val="18"/>
        </w:rPr>
        <w:t>, P. Ho, R. K. Chitumalla, J. Jang, S. Thogiti and J. H. Kim, “</w:t>
      </w:r>
      <w:r w:rsidRPr="005C016E">
        <w:rPr>
          <w:rFonts w:ascii="Calibri" w:eastAsia="Calibri" w:hAnsi="Calibri" w:cs="Calibri"/>
          <w:i/>
          <w:iCs/>
          <w:sz w:val="18"/>
        </w:rPr>
        <w:t>Single and double branched organic dyes based on carbazole and red-absorbing cationic indolium for p-type dye-sensitized solar cells: A combined experimental and theoretical investigation</w:t>
      </w:r>
      <w:r w:rsidRPr="005C016E">
        <w:rPr>
          <w:rFonts w:ascii="Calibri" w:eastAsia="Calibri" w:hAnsi="Calibri" w:cs="Calibri"/>
          <w:sz w:val="18"/>
        </w:rPr>
        <w:t xml:space="preserve">”, </w:t>
      </w:r>
      <w:r w:rsidRPr="005C016E">
        <w:rPr>
          <w:rFonts w:ascii="Calibri" w:eastAsia="Calibri" w:hAnsi="Calibri" w:cs="Calibri"/>
          <w:bCs/>
          <w:sz w:val="18"/>
        </w:rPr>
        <w:t>Dyes and Pigments</w:t>
      </w:r>
      <w:r w:rsidRPr="005C016E">
        <w:rPr>
          <w:rFonts w:ascii="Calibri" w:eastAsia="Calibri" w:hAnsi="Calibri" w:cs="Calibri"/>
          <w:sz w:val="18"/>
        </w:rPr>
        <w:t>, 2018, 149, 25 - 36.</w:t>
      </w:r>
    </w:p>
    <w:p w:rsidR="006C2878" w:rsidRPr="005C016E" w:rsidRDefault="00B847C2" w:rsidP="00BD338F">
      <w:pPr>
        <w:numPr>
          <w:ilvl w:val="0"/>
          <w:numId w:val="4"/>
        </w:numPr>
        <w:tabs>
          <w:tab w:val="left" w:pos="384"/>
        </w:tabs>
        <w:ind w:right="117"/>
        <w:rPr>
          <w:rFonts w:ascii="Calibri" w:eastAsia="Calibri" w:hAnsi="Calibri" w:cs="Calibri"/>
          <w:sz w:val="18"/>
        </w:rPr>
      </w:pPr>
      <w:r w:rsidRPr="005C016E">
        <w:rPr>
          <w:rFonts w:ascii="Calibri" w:eastAsia="Calibri" w:hAnsi="Calibri" w:cs="Calibri"/>
          <w:bCs/>
          <w:sz w:val="18"/>
        </w:rPr>
        <w:t>Le Quoc Bao</w:t>
      </w:r>
      <w:r w:rsidRPr="005C016E">
        <w:rPr>
          <w:rFonts w:ascii="Calibri" w:eastAsia="Calibri" w:hAnsi="Calibri" w:cs="Calibri"/>
          <w:sz w:val="18"/>
        </w:rPr>
        <w:t>, R. Cheruku, S. Thogiti, P. Ho, W. K. Yang and J. H. Kim, “</w:t>
      </w:r>
      <w:r w:rsidRPr="005C016E">
        <w:rPr>
          <w:rFonts w:ascii="Calibri" w:eastAsia="Calibri" w:hAnsi="Calibri" w:cs="Calibri"/>
          <w:i/>
          <w:iCs/>
          <w:sz w:val="18"/>
        </w:rPr>
        <w:t>Synthesis, Characterization, and Application of Metal-Free Porphyrin Dyes with Different Donors for Dye-Sensitized Solar Cells</w:t>
      </w:r>
      <w:r w:rsidRPr="005C016E">
        <w:rPr>
          <w:rFonts w:ascii="Calibri" w:eastAsia="Calibri" w:hAnsi="Calibri" w:cs="Calibri"/>
          <w:sz w:val="18"/>
        </w:rPr>
        <w:t xml:space="preserve">”, </w:t>
      </w:r>
      <w:r w:rsidRPr="005C016E">
        <w:rPr>
          <w:rFonts w:ascii="Calibri" w:eastAsia="Calibri" w:hAnsi="Calibri" w:cs="Calibri"/>
          <w:bCs/>
          <w:sz w:val="18"/>
        </w:rPr>
        <w:t xml:space="preserve">Journal of Nanoscience and Nanotechnology Letters, </w:t>
      </w:r>
      <w:r w:rsidRPr="005C016E">
        <w:rPr>
          <w:rFonts w:ascii="Calibri" w:eastAsia="Calibri" w:hAnsi="Calibri" w:cs="Calibri"/>
          <w:sz w:val="18"/>
        </w:rPr>
        <w:t>2017, 9, 1544 - 1550.</w:t>
      </w:r>
    </w:p>
    <w:p w:rsidR="006C2878" w:rsidRPr="005C016E" w:rsidRDefault="00B847C2" w:rsidP="00BD338F">
      <w:pPr>
        <w:numPr>
          <w:ilvl w:val="0"/>
          <w:numId w:val="4"/>
        </w:numPr>
        <w:tabs>
          <w:tab w:val="left" w:pos="384"/>
        </w:tabs>
        <w:ind w:right="117"/>
        <w:rPr>
          <w:rFonts w:ascii="Calibri" w:eastAsia="Calibri" w:hAnsi="Calibri" w:cs="Calibri"/>
          <w:sz w:val="18"/>
        </w:rPr>
      </w:pPr>
      <w:r w:rsidRPr="005C016E">
        <w:rPr>
          <w:rFonts w:ascii="Calibri" w:eastAsia="Calibri" w:hAnsi="Calibri" w:cs="Calibri"/>
          <w:bCs/>
          <w:sz w:val="18"/>
        </w:rPr>
        <w:t>Le Quoc Bao</w:t>
      </w:r>
      <w:r w:rsidRPr="005C016E">
        <w:rPr>
          <w:rFonts w:ascii="Calibri" w:eastAsia="Calibri" w:hAnsi="Calibri" w:cs="Calibri"/>
          <w:sz w:val="18"/>
        </w:rPr>
        <w:t xml:space="preserve">, N. T. Hai, S. Thogiti, and J. H. Kim, </w:t>
      </w:r>
      <w:r w:rsidRPr="005C016E">
        <w:rPr>
          <w:rFonts w:ascii="Calibri" w:eastAsia="Calibri" w:hAnsi="Calibri" w:cs="Calibri"/>
          <w:i/>
          <w:iCs/>
          <w:sz w:val="18"/>
        </w:rPr>
        <w:t>“Synthesis and Investigation of Number of Anchoring and Spacer Effect in Triphenylamine-Based Organic Dyes for p-Type Dye Sensitized Solar Cells”</w:t>
      </w:r>
      <w:r w:rsidRPr="005C016E">
        <w:rPr>
          <w:rFonts w:ascii="Calibri" w:eastAsia="Calibri" w:hAnsi="Calibri" w:cs="Calibri"/>
          <w:sz w:val="18"/>
        </w:rPr>
        <w:t>, </w:t>
      </w:r>
      <w:r w:rsidRPr="005C016E">
        <w:rPr>
          <w:rFonts w:ascii="Calibri" w:eastAsia="Calibri" w:hAnsi="Calibri" w:cs="Calibri"/>
          <w:bCs/>
          <w:sz w:val="18"/>
        </w:rPr>
        <w:t>Science of Advanced Materials</w:t>
      </w:r>
      <w:r w:rsidRPr="005C016E">
        <w:rPr>
          <w:rFonts w:ascii="Calibri" w:eastAsia="Calibri" w:hAnsi="Calibri" w:cs="Calibri"/>
          <w:sz w:val="18"/>
        </w:rPr>
        <w:t>, 2017, 9, 161 – 167.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BA8A7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027887" w:rsidP="00404E5B">
      <w:pPr>
        <w:spacing w:before="92"/>
        <w:ind w:right="4234"/>
        <w:rPr>
          <w:rFonts w:ascii="Arial"/>
        </w:rPr>
      </w:pPr>
      <w:r>
        <w:rPr>
          <w:noProof/>
        </w:rPr>
        <w:t xml:space="preserve">    </w:t>
      </w:r>
      <w:r w:rsidR="00135718">
        <w:rPr>
          <w:noProof/>
          <w:lang w:eastAsia="ja-JP"/>
        </w:rPr>
        <w:drawing>
          <wp:inline distT="0" distB="0" distL="0" distR="0">
            <wp:extent cx="952500" cy="1255031"/>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 ba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4932" cy="1271412"/>
                    </a:xfrm>
                    <a:prstGeom prst="rect">
                      <a:avLst/>
                    </a:prstGeom>
                  </pic:spPr>
                </pic:pic>
              </a:graphicData>
            </a:graphic>
          </wp:inline>
        </w:drawing>
      </w:r>
      <w:r w:rsidR="00932F14">
        <w:rPr>
          <w:noProof/>
        </w:rPr>
        <w:br/>
        <w:t xml:space="preserve">    </w:t>
      </w:r>
      <w:r w:rsidR="00A9710C">
        <w:rPr>
          <w:rFonts w:ascii="Arial"/>
          <w:color w:val="BF5A14"/>
        </w:rPr>
        <w:t>Biography</w:t>
      </w:r>
    </w:p>
    <w:p w:rsidR="00135718" w:rsidRDefault="008D707D" w:rsidP="00135718">
      <w:pPr>
        <w:spacing w:before="41" w:line="154" w:lineRule="exact"/>
        <w:ind w:left="213" w:right="231"/>
        <w:jc w:val="both"/>
        <w:rPr>
          <w:rFonts w:ascii="Arial"/>
          <w:sz w:val="14"/>
        </w:rPr>
      </w:pPr>
      <w:r>
        <w:rPr>
          <w:rFonts w:ascii="Arial"/>
          <w:sz w:val="14"/>
        </w:rPr>
        <w:t>Dr. Le Quoc Bao</w:t>
      </w:r>
      <w:r>
        <w:rPr>
          <w:rFonts w:ascii="Arial"/>
          <w:sz w:val="14"/>
        </w:rPr>
        <w:t>’</w:t>
      </w:r>
      <w:r>
        <w:rPr>
          <w:rFonts w:ascii="Arial"/>
          <w:sz w:val="14"/>
        </w:rPr>
        <w:t xml:space="preserve">s </w:t>
      </w:r>
      <w:r w:rsidR="009276E4">
        <w:rPr>
          <w:rFonts w:ascii="Arial"/>
          <w:sz w:val="14"/>
        </w:rPr>
        <w:t xml:space="preserve">major is </w:t>
      </w:r>
      <w:r w:rsidR="00135718">
        <w:rPr>
          <w:rFonts w:ascii="Arial"/>
          <w:sz w:val="14"/>
        </w:rPr>
        <w:t>material technology. He used to focus</w:t>
      </w:r>
      <w:r w:rsidR="00135718" w:rsidRPr="00135718">
        <w:rPr>
          <w:rFonts w:ascii="Arial"/>
          <w:sz w:val="14"/>
        </w:rPr>
        <w:t xml:space="preserve"> on the development of novel organic materials aiming to the energy applications </w:t>
      </w:r>
      <w:r w:rsidR="00135718">
        <w:rPr>
          <w:rFonts w:ascii="Arial"/>
          <w:sz w:val="14"/>
        </w:rPr>
        <w:t>Dye-Sensitized Solar Cells. He has</w:t>
      </w:r>
      <w:r w:rsidR="00135718" w:rsidRPr="00135718">
        <w:rPr>
          <w:rFonts w:ascii="Arial"/>
          <w:sz w:val="14"/>
        </w:rPr>
        <w:t xml:space="preserve"> the experience in conducting the polymerization process such as Atom T</w:t>
      </w:r>
      <w:r w:rsidR="00135718">
        <w:rPr>
          <w:rFonts w:ascii="Arial"/>
          <w:sz w:val="14"/>
        </w:rPr>
        <w:t>ransfer Radical Polymerization and has interest</w:t>
      </w:r>
      <w:r w:rsidR="00135718" w:rsidRPr="00135718">
        <w:rPr>
          <w:rFonts w:ascii="Arial"/>
          <w:sz w:val="14"/>
        </w:rPr>
        <w:t xml:space="preserve"> in the investigation and development of portable devices using conducting polymers and the composites which will use them as their matrix. </w:t>
      </w:r>
      <w:r w:rsidR="00135718">
        <w:rPr>
          <w:rFonts w:ascii="Arial"/>
          <w:sz w:val="14"/>
        </w:rPr>
        <w:t>He is</w:t>
      </w:r>
      <w:r w:rsidR="00135718" w:rsidRPr="00135718">
        <w:rPr>
          <w:rFonts w:ascii="Arial"/>
          <w:sz w:val="14"/>
        </w:rPr>
        <w:t xml:space="preserve"> a lecturer at Department of Organic Materials, Faculty of Applied Sciences, Ton Duc Thang University in Vietnam. </w:t>
      </w:r>
      <w:r w:rsidR="00135718">
        <w:rPr>
          <w:rFonts w:ascii="Arial"/>
          <w:sz w:val="14"/>
        </w:rPr>
        <w:t xml:space="preserve">Since Sep 2018, he has gotten the postdoctoral position at Centre of Polymer Systems of Tomas Bata University in Czech Republic. He is working at </w:t>
      </w:r>
      <w:r w:rsidR="00135718" w:rsidRPr="00135718">
        <w:rPr>
          <w:rFonts w:ascii="Arial"/>
          <w:sz w:val="14"/>
        </w:rPr>
        <w:t>Sino-EU Joint Laboratory of N</w:t>
      </w:r>
      <w:r w:rsidR="00135718">
        <w:rPr>
          <w:rFonts w:ascii="Arial"/>
          <w:sz w:val="14"/>
        </w:rPr>
        <w:t xml:space="preserve">ew Energy Materials and Devices. Recently, his research is focused on developed the materials with high working performance applied on supercapactior. </w:t>
      </w:r>
    </w:p>
    <w:p w:rsidR="00AE3E37" w:rsidRDefault="00A9710C">
      <w:pPr>
        <w:spacing w:before="62"/>
        <w:ind w:left="4217" w:right="4235"/>
        <w:jc w:val="center"/>
        <w:rPr>
          <w:rFonts w:ascii="Arial"/>
          <w:sz w:val="14"/>
        </w:rPr>
      </w:pPr>
      <w:r>
        <w:rPr>
          <w:rFonts w:ascii="Arial"/>
          <w:sz w:val="14"/>
        </w:rPr>
        <w:t xml:space="preserve">Email: </w:t>
      </w:r>
      <w:r w:rsidR="003E07DF">
        <w:rPr>
          <w:rStyle w:val="Hyperlink"/>
          <w:rFonts w:ascii="Arial"/>
          <w:sz w:val="14"/>
        </w:rPr>
        <w:t>le@utb.cz</w:t>
      </w:r>
    </w:p>
    <w:p w:rsidR="00AE3E37" w:rsidRDefault="00292ED9">
      <w:pPr>
        <w:pStyle w:val="BodyText"/>
        <w:spacing w:before="2"/>
        <w:rPr>
          <w:rFonts w:ascii="Arial"/>
          <w:sz w:val="19"/>
        </w:rPr>
      </w:pPr>
      <w:r>
        <w:rPr>
          <w:noProof/>
          <w:lang w:eastAsia="ja-JP"/>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D9E99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741F" w:rsidRDefault="0046741F">
      <w:r>
        <w:separator/>
      </w:r>
    </w:p>
  </w:endnote>
  <w:endnote w:type="continuationSeparator" w:id="0">
    <w:p w:rsidR="0046741F" w:rsidRDefault="00467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741F" w:rsidRDefault="0046741F">
      <w:r>
        <w:separator/>
      </w:r>
    </w:p>
  </w:footnote>
  <w:footnote w:type="continuationSeparator" w:id="0">
    <w:p w:rsidR="0046741F" w:rsidRDefault="004674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2B6A25"/>
    <w:multiLevelType w:val="hybridMultilevel"/>
    <w:tmpl w:val="C65EAD40"/>
    <w:lvl w:ilvl="0" w:tplc="1EE246F2">
      <w:start w:val="1"/>
      <w:numFmt w:val="decimal"/>
      <w:lvlText w:val="%1."/>
      <w:lvlJc w:val="left"/>
      <w:pPr>
        <w:tabs>
          <w:tab w:val="num" w:pos="720"/>
        </w:tabs>
        <w:ind w:left="720" w:hanging="360"/>
      </w:pPr>
    </w:lvl>
    <w:lvl w:ilvl="1" w:tplc="167CF85C" w:tentative="1">
      <w:start w:val="1"/>
      <w:numFmt w:val="decimal"/>
      <w:lvlText w:val="%2."/>
      <w:lvlJc w:val="left"/>
      <w:pPr>
        <w:tabs>
          <w:tab w:val="num" w:pos="1440"/>
        </w:tabs>
        <w:ind w:left="1440" w:hanging="360"/>
      </w:pPr>
    </w:lvl>
    <w:lvl w:ilvl="2" w:tplc="8730CB9E" w:tentative="1">
      <w:start w:val="1"/>
      <w:numFmt w:val="decimal"/>
      <w:lvlText w:val="%3."/>
      <w:lvlJc w:val="left"/>
      <w:pPr>
        <w:tabs>
          <w:tab w:val="num" w:pos="2160"/>
        </w:tabs>
        <w:ind w:left="2160" w:hanging="360"/>
      </w:pPr>
    </w:lvl>
    <w:lvl w:ilvl="3" w:tplc="E264B60E" w:tentative="1">
      <w:start w:val="1"/>
      <w:numFmt w:val="decimal"/>
      <w:lvlText w:val="%4."/>
      <w:lvlJc w:val="left"/>
      <w:pPr>
        <w:tabs>
          <w:tab w:val="num" w:pos="2880"/>
        </w:tabs>
        <w:ind w:left="2880" w:hanging="360"/>
      </w:pPr>
    </w:lvl>
    <w:lvl w:ilvl="4" w:tplc="ED74FF90" w:tentative="1">
      <w:start w:val="1"/>
      <w:numFmt w:val="decimal"/>
      <w:lvlText w:val="%5."/>
      <w:lvlJc w:val="left"/>
      <w:pPr>
        <w:tabs>
          <w:tab w:val="num" w:pos="3600"/>
        </w:tabs>
        <w:ind w:left="3600" w:hanging="360"/>
      </w:pPr>
    </w:lvl>
    <w:lvl w:ilvl="5" w:tplc="F09401E4" w:tentative="1">
      <w:start w:val="1"/>
      <w:numFmt w:val="decimal"/>
      <w:lvlText w:val="%6."/>
      <w:lvlJc w:val="left"/>
      <w:pPr>
        <w:tabs>
          <w:tab w:val="num" w:pos="4320"/>
        </w:tabs>
        <w:ind w:left="4320" w:hanging="360"/>
      </w:pPr>
    </w:lvl>
    <w:lvl w:ilvl="6" w:tplc="DCD2F872" w:tentative="1">
      <w:start w:val="1"/>
      <w:numFmt w:val="decimal"/>
      <w:lvlText w:val="%7."/>
      <w:lvlJc w:val="left"/>
      <w:pPr>
        <w:tabs>
          <w:tab w:val="num" w:pos="5040"/>
        </w:tabs>
        <w:ind w:left="5040" w:hanging="360"/>
      </w:pPr>
    </w:lvl>
    <w:lvl w:ilvl="7" w:tplc="F626CA5E" w:tentative="1">
      <w:start w:val="1"/>
      <w:numFmt w:val="decimal"/>
      <w:lvlText w:val="%8."/>
      <w:lvlJc w:val="left"/>
      <w:pPr>
        <w:tabs>
          <w:tab w:val="num" w:pos="5760"/>
        </w:tabs>
        <w:ind w:left="5760" w:hanging="360"/>
      </w:pPr>
    </w:lvl>
    <w:lvl w:ilvl="8" w:tplc="F5602130" w:tentative="1">
      <w:start w:val="1"/>
      <w:numFmt w:val="decimal"/>
      <w:lvlText w:val="%9."/>
      <w:lvlJc w:val="left"/>
      <w:pPr>
        <w:tabs>
          <w:tab w:val="num" w:pos="6480"/>
        </w:tabs>
        <w:ind w:left="6480" w:hanging="36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7887"/>
    <w:rsid w:val="00091D35"/>
    <w:rsid w:val="000E2911"/>
    <w:rsid w:val="000F240E"/>
    <w:rsid w:val="001263DF"/>
    <w:rsid w:val="00135718"/>
    <w:rsid w:val="001A2C4E"/>
    <w:rsid w:val="00216BE7"/>
    <w:rsid w:val="00246911"/>
    <w:rsid w:val="00292ED9"/>
    <w:rsid w:val="00357983"/>
    <w:rsid w:val="003E07DF"/>
    <w:rsid w:val="00404E5B"/>
    <w:rsid w:val="00414F7B"/>
    <w:rsid w:val="004355DC"/>
    <w:rsid w:val="00452B91"/>
    <w:rsid w:val="0046741F"/>
    <w:rsid w:val="004749B4"/>
    <w:rsid w:val="00494130"/>
    <w:rsid w:val="004F3523"/>
    <w:rsid w:val="005973B9"/>
    <w:rsid w:val="005B3A56"/>
    <w:rsid w:val="005C016E"/>
    <w:rsid w:val="005F37C6"/>
    <w:rsid w:val="006060CE"/>
    <w:rsid w:val="0063497F"/>
    <w:rsid w:val="006635A9"/>
    <w:rsid w:val="006720F5"/>
    <w:rsid w:val="006C2878"/>
    <w:rsid w:val="00725FFB"/>
    <w:rsid w:val="00873DF0"/>
    <w:rsid w:val="008756E6"/>
    <w:rsid w:val="008D707D"/>
    <w:rsid w:val="009276E4"/>
    <w:rsid w:val="00932F14"/>
    <w:rsid w:val="00934B85"/>
    <w:rsid w:val="009B2D44"/>
    <w:rsid w:val="00A07E82"/>
    <w:rsid w:val="00A73DD2"/>
    <w:rsid w:val="00A9710C"/>
    <w:rsid w:val="00AD6AB2"/>
    <w:rsid w:val="00AE3E37"/>
    <w:rsid w:val="00B21A57"/>
    <w:rsid w:val="00B847C2"/>
    <w:rsid w:val="00BC06C9"/>
    <w:rsid w:val="00BD338F"/>
    <w:rsid w:val="00C33602"/>
    <w:rsid w:val="00CD6F55"/>
    <w:rsid w:val="00DE3104"/>
    <w:rsid w:val="00F72EEA"/>
    <w:rsid w:val="00F84CAE"/>
    <w:rsid w:val="00FB630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DBBA6AB5-ACC1-4A00-8603-6D27726E4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2421983">
      <w:bodyDiv w:val="1"/>
      <w:marLeft w:val="0"/>
      <w:marRight w:val="0"/>
      <w:marTop w:val="0"/>
      <w:marBottom w:val="0"/>
      <w:divBdr>
        <w:top w:val="none" w:sz="0" w:space="0" w:color="auto"/>
        <w:left w:val="none" w:sz="0" w:space="0" w:color="auto"/>
        <w:bottom w:val="none" w:sz="0" w:space="0" w:color="auto"/>
        <w:right w:val="none" w:sz="0" w:space="0" w:color="auto"/>
      </w:divBdr>
      <w:divsChild>
        <w:div w:id="2114587563">
          <w:marLeft w:val="360"/>
          <w:marRight w:val="0"/>
          <w:marTop w:val="0"/>
          <w:marBottom w:val="60"/>
          <w:divBdr>
            <w:top w:val="none" w:sz="0" w:space="0" w:color="auto"/>
            <w:left w:val="none" w:sz="0" w:space="0" w:color="auto"/>
            <w:bottom w:val="none" w:sz="0" w:space="0" w:color="auto"/>
            <w:right w:val="none" w:sz="0" w:space="0" w:color="auto"/>
          </w:divBdr>
        </w:div>
        <w:div w:id="1551767279">
          <w:marLeft w:val="360"/>
          <w:marRight w:val="0"/>
          <w:marTop w:val="0"/>
          <w:marBottom w:val="60"/>
          <w:divBdr>
            <w:top w:val="none" w:sz="0" w:space="0" w:color="auto"/>
            <w:left w:val="none" w:sz="0" w:space="0" w:color="auto"/>
            <w:bottom w:val="none" w:sz="0" w:space="0" w:color="auto"/>
            <w:right w:val="none" w:sz="0" w:space="0" w:color="auto"/>
          </w:divBdr>
        </w:div>
        <w:div w:id="547760927">
          <w:marLeft w:val="360"/>
          <w:marRight w:val="0"/>
          <w:marTop w:val="0"/>
          <w:marBottom w:val="60"/>
          <w:divBdr>
            <w:top w:val="none" w:sz="0" w:space="0" w:color="auto"/>
            <w:left w:val="none" w:sz="0" w:space="0" w:color="auto"/>
            <w:bottom w:val="none" w:sz="0" w:space="0" w:color="auto"/>
            <w:right w:val="none" w:sz="0" w:space="0" w:color="auto"/>
          </w:divBdr>
        </w:div>
        <w:div w:id="1654529888">
          <w:marLeft w:val="360"/>
          <w:marRight w:val="0"/>
          <w:marTop w:val="0"/>
          <w:marBottom w:val="60"/>
          <w:divBdr>
            <w:top w:val="none" w:sz="0" w:space="0" w:color="auto"/>
            <w:left w:val="none" w:sz="0" w:space="0" w:color="auto"/>
            <w:bottom w:val="none" w:sz="0" w:space="0" w:color="auto"/>
            <w:right w:val="none" w:sz="0" w:space="0" w:color="auto"/>
          </w:divBdr>
        </w:div>
        <w:div w:id="1810197901">
          <w:marLeft w:val="360"/>
          <w:marRight w:val="0"/>
          <w:marTop w:val="0"/>
          <w:marBottom w:val="60"/>
          <w:divBdr>
            <w:top w:val="none" w:sz="0" w:space="0" w:color="auto"/>
            <w:left w:val="none" w:sz="0" w:space="0" w:color="auto"/>
            <w:bottom w:val="none" w:sz="0" w:space="0" w:color="auto"/>
            <w:right w:val="none" w:sz="0" w:space="0" w:color="auto"/>
          </w:divBdr>
        </w:div>
      </w:divsChild>
    </w:div>
    <w:div w:id="19378640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Quoc Bao Le</cp:lastModifiedBy>
  <cp:revision>3</cp:revision>
  <dcterms:created xsi:type="dcterms:W3CDTF">2020-01-30T17:14:00Z</dcterms:created>
  <dcterms:modified xsi:type="dcterms:W3CDTF">2020-01-30T17:22:00Z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