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63DD8" w14:textId="782FEF8F" w:rsidR="000F0B76" w:rsidRPr="00B42DEB" w:rsidRDefault="000F0B76" w:rsidP="00B42DEB">
      <w:pPr>
        <w:pStyle w:val="MDPI16affiliation"/>
        <w:jc w:val="center"/>
        <w:rPr>
          <w:rFonts w:ascii="Tw Cen MT" w:eastAsia="Tw Cen MT" w:hAnsi="Tw Cen MT" w:cs="Tw Cen MT"/>
          <w:b/>
          <w:bCs/>
          <w:color w:val="auto"/>
          <w:sz w:val="32"/>
          <w:szCs w:val="32"/>
          <w:lang w:eastAsia="en-US" w:bidi="ar-SA"/>
        </w:rPr>
      </w:pPr>
      <w:r w:rsidRPr="00B42DEB">
        <w:rPr>
          <w:rFonts w:ascii="Tw Cen MT" w:eastAsia="Tw Cen MT" w:hAnsi="Tw Cen MT" w:cs="Tw Cen MT"/>
          <w:b/>
          <w:bCs/>
          <w:color w:val="auto"/>
          <w:sz w:val="32"/>
          <w:szCs w:val="32"/>
          <w:lang w:eastAsia="en-US" w:bidi="ar-SA"/>
        </w:rPr>
        <w:t xml:space="preserve">TEM </w:t>
      </w:r>
      <w:r w:rsidR="00D86507" w:rsidRPr="00B42DEB">
        <w:rPr>
          <w:rFonts w:ascii="Tw Cen MT" w:eastAsia="Tw Cen MT" w:hAnsi="Tw Cen MT" w:cs="Tw Cen MT"/>
          <w:b/>
          <w:bCs/>
          <w:color w:val="auto"/>
          <w:sz w:val="32"/>
          <w:szCs w:val="32"/>
          <w:lang w:eastAsia="en-US" w:bidi="ar-SA"/>
        </w:rPr>
        <w:t>S</w:t>
      </w:r>
      <w:r w:rsidRPr="00B42DEB">
        <w:rPr>
          <w:rFonts w:ascii="Tw Cen MT" w:eastAsia="Tw Cen MT" w:hAnsi="Tw Cen MT" w:cs="Tw Cen MT"/>
          <w:b/>
          <w:bCs/>
          <w:color w:val="auto"/>
          <w:sz w:val="32"/>
          <w:szCs w:val="32"/>
          <w:lang w:eastAsia="en-US" w:bidi="ar-SA"/>
        </w:rPr>
        <w:t xml:space="preserve">tudies </w:t>
      </w:r>
      <w:r w:rsidR="00D86507" w:rsidRPr="00B42DEB">
        <w:rPr>
          <w:rFonts w:ascii="Tw Cen MT" w:eastAsia="Tw Cen MT" w:hAnsi="Tw Cen MT" w:cs="Tw Cen MT"/>
          <w:b/>
          <w:bCs/>
          <w:color w:val="auto"/>
          <w:sz w:val="32"/>
          <w:szCs w:val="32"/>
          <w:lang w:eastAsia="en-US" w:bidi="ar-SA"/>
        </w:rPr>
        <w:t xml:space="preserve">of </w:t>
      </w:r>
      <w:r w:rsidRPr="00B42DEB">
        <w:rPr>
          <w:rFonts w:ascii="Tw Cen MT" w:eastAsia="Tw Cen MT" w:hAnsi="Tw Cen MT" w:cs="Tw Cen MT"/>
          <w:b/>
          <w:bCs/>
          <w:color w:val="auto"/>
          <w:sz w:val="32"/>
          <w:szCs w:val="32"/>
          <w:lang w:eastAsia="en-US" w:bidi="ar-SA"/>
        </w:rPr>
        <w:t xml:space="preserve">Epitaxial </w:t>
      </w:r>
      <w:r w:rsidR="00D86507" w:rsidRPr="00B42DEB">
        <w:rPr>
          <w:rFonts w:ascii="Tw Cen MT" w:eastAsia="Tw Cen MT" w:hAnsi="Tw Cen MT" w:cs="Tw Cen MT"/>
          <w:b/>
          <w:bCs/>
          <w:color w:val="auto"/>
          <w:sz w:val="32"/>
          <w:szCs w:val="32"/>
          <w:lang w:eastAsia="en-US" w:bidi="ar-SA"/>
        </w:rPr>
        <w:t>O</w:t>
      </w:r>
      <w:r w:rsidRPr="00B42DEB">
        <w:rPr>
          <w:rFonts w:ascii="Tw Cen MT" w:eastAsia="Tw Cen MT" w:hAnsi="Tw Cen MT" w:cs="Tw Cen MT"/>
          <w:b/>
          <w:bCs/>
          <w:color w:val="auto"/>
          <w:sz w:val="32"/>
          <w:szCs w:val="32"/>
          <w:lang w:eastAsia="en-US" w:bidi="ar-SA"/>
        </w:rPr>
        <w:t xml:space="preserve">xide </w:t>
      </w:r>
      <w:r w:rsidR="00D86507" w:rsidRPr="00B42DEB">
        <w:rPr>
          <w:rFonts w:ascii="Tw Cen MT" w:eastAsia="Tw Cen MT" w:hAnsi="Tw Cen MT" w:cs="Tw Cen MT"/>
          <w:b/>
          <w:bCs/>
          <w:color w:val="auto"/>
          <w:sz w:val="32"/>
          <w:szCs w:val="32"/>
          <w:lang w:eastAsia="en-US" w:bidi="ar-SA"/>
        </w:rPr>
        <w:t>F</w:t>
      </w:r>
      <w:r w:rsidRPr="00B42DEB">
        <w:rPr>
          <w:rFonts w:ascii="Tw Cen MT" w:eastAsia="Tw Cen MT" w:hAnsi="Tw Cen MT" w:cs="Tw Cen MT"/>
          <w:b/>
          <w:bCs/>
          <w:color w:val="auto"/>
          <w:sz w:val="32"/>
          <w:szCs w:val="32"/>
          <w:lang w:eastAsia="en-US" w:bidi="ar-SA"/>
        </w:rPr>
        <w:t>ilms for</w:t>
      </w:r>
      <w:r w:rsidR="00D86507" w:rsidRPr="00B42DEB">
        <w:rPr>
          <w:rFonts w:ascii="Tw Cen MT" w:eastAsia="Tw Cen MT" w:hAnsi="Tw Cen MT" w:cs="Tw Cen MT"/>
          <w:b/>
          <w:bCs/>
          <w:color w:val="auto"/>
          <w:sz w:val="32"/>
          <w:szCs w:val="32"/>
          <w:lang w:eastAsia="en-US" w:bidi="ar-SA"/>
        </w:rPr>
        <w:t xml:space="preserve"> A</w:t>
      </w:r>
      <w:r w:rsidRPr="00B42DEB">
        <w:rPr>
          <w:rFonts w:ascii="Tw Cen MT" w:eastAsia="Tw Cen MT" w:hAnsi="Tw Cen MT" w:cs="Tw Cen MT"/>
          <w:b/>
          <w:bCs/>
          <w:color w:val="auto"/>
          <w:sz w:val="32"/>
          <w:szCs w:val="32"/>
          <w:lang w:eastAsia="en-US" w:bidi="ar-SA"/>
        </w:rPr>
        <w:t xml:space="preserve">dvanced </w:t>
      </w:r>
      <w:r w:rsidR="001B4C8E" w:rsidRPr="00B42DEB">
        <w:rPr>
          <w:rFonts w:ascii="Tw Cen MT" w:eastAsia="Tw Cen MT" w:hAnsi="Tw Cen MT" w:cs="Tw Cen MT"/>
          <w:b/>
          <w:bCs/>
          <w:color w:val="auto"/>
          <w:sz w:val="32"/>
          <w:szCs w:val="32"/>
          <w:lang w:eastAsia="en-US" w:bidi="ar-SA"/>
        </w:rPr>
        <w:t xml:space="preserve">All-Solid </w:t>
      </w:r>
      <w:r w:rsidRPr="00B42DEB">
        <w:rPr>
          <w:rFonts w:ascii="Tw Cen MT" w:eastAsia="Tw Cen MT" w:hAnsi="Tw Cen MT" w:cs="Tw Cen MT"/>
          <w:b/>
          <w:bCs/>
          <w:color w:val="auto"/>
          <w:sz w:val="32"/>
          <w:szCs w:val="32"/>
          <w:lang w:eastAsia="en-US" w:bidi="ar-SA"/>
        </w:rPr>
        <w:t xml:space="preserve">Li-ion </w:t>
      </w:r>
      <w:r w:rsidR="00D86507" w:rsidRPr="00B42DEB">
        <w:rPr>
          <w:rFonts w:ascii="Tw Cen MT" w:eastAsia="Tw Cen MT" w:hAnsi="Tw Cen MT" w:cs="Tw Cen MT"/>
          <w:b/>
          <w:bCs/>
          <w:color w:val="auto"/>
          <w:sz w:val="32"/>
          <w:szCs w:val="32"/>
          <w:lang w:eastAsia="en-US" w:bidi="ar-SA"/>
        </w:rPr>
        <w:t>B</w:t>
      </w:r>
      <w:r w:rsidRPr="00B42DEB">
        <w:rPr>
          <w:rFonts w:ascii="Tw Cen MT" w:eastAsia="Tw Cen MT" w:hAnsi="Tw Cen MT" w:cs="Tw Cen MT"/>
          <w:b/>
          <w:bCs/>
          <w:color w:val="auto"/>
          <w:sz w:val="32"/>
          <w:szCs w:val="32"/>
          <w:lang w:eastAsia="en-US" w:bidi="ar-SA"/>
        </w:rPr>
        <w:t>atteries</w:t>
      </w:r>
    </w:p>
    <w:p w14:paraId="14CCBB9E" w14:textId="4C71FF49" w:rsidR="000F0B76" w:rsidRPr="000F0B76" w:rsidRDefault="000F0B76" w:rsidP="00F25667">
      <w:pPr>
        <w:pStyle w:val="MDPI13authornames"/>
        <w:jc w:val="center"/>
        <w:rPr>
          <w:rFonts w:ascii="Tw Cen MT" w:eastAsia="Tw Cen MT" w:hAnsi="Tw Cen MT" w:cs="Tw Cen MT"/>
          <w:b w:val="0"/>
          <w:color w:val="auto"/>
          <w:sz w:val="18"/>
          <w:szCs w:val="18"/>
          <w:lang w:eastAsia="en-US" w:bidi="ar-SA"/>
        </w:rPr>
      </w:pPr>
      <w:r w:rsidRPr="000F0B76">
        <w:rPr>
          <w:rFonts w:ascii="Tw Cen MT" w:eastAsia="Tw Cen MT" w:hAnsi="Tw Cen MT" w:cs="Tw Cen MT"/>
          <w:b w:val="0"/>
          <w:color w:val="auto"/>
          <w:sz w:val="18"/>
          <w:szCs w:val="18"/>
          <w:lang w:eastAsia="en-US" w:bidi="ar-SA"/>
        </w:rPr>
        <w:t>Leonid A. Bendersky1, Haiyan Tan2, K. Kamala Bharathi3, Saya Takeuchi1 and Aaron C. Johnston-Peck1</w:t>
      </w:r>
    </w:p>
    <w:p w14:paraId="0D46484F" w14:textId="1DBBE5F7" w:rsidR="000F0B76" w:rsidRPr="000F0B76" w:rsidRDefault="00F25667" w:rsidP="000F0B76">
      <w:pPr>
        <w:pStyle w:val="MDPI16affiliation"/>
        <w:jc w:val="center"/>
        <w:rPr>
          <w:rFonts w:ascii="Tw Cen MT" w:eastAsia="Tw Cen MT" w:hAnsi="Tw Cen MT" w:cs="Tw Cen MT"/>
          <w:color w:val="auto"/>
          <w:lang w:eastAsia="en-US" w:bidi="ar-SA"/>
        </w:rPr>
      </w:pPr>
      <w:r>
        <w:rPr>
          <w:rFonts w:ascii="Tw Cen MT" w:eastAsia="Tw Cen MT" w:hAnsi="Tw Cen MT" w:cs="Tw Cen MT"/>
          <w:color w:val="auto"/>
          <w:lang w:eastAsia="en-US" w:bidi="ar-SA"/>
        </w:rPr>
        <w:t>1</w:t>
      </w:r>
      <w:r w:rsidR="000F0B76" w:rsidRPr="000F0B76">
        <w:rPr>
          <w:rFonts w:ascii="Tw Cen MT" w:eastAsia="Tw Cen MT" w:hAnsi="Tw Cen MT" w:cs="Tw Cen MT"/>
          <w:color w:val="auto"/>
          <w:lang w:eastAsia="en-US" w:bidi="ar-SA"/>
        </w:rPr>
        <w:tab/>
        <w:t>Material Measurement Laboratory, National Institute of Standards and Technology (NIST), Gaithersburg, MD 20899, USA; leoben@nist.gov</w:t>
      </w:r>
    </w:p>
    <w:p w14:paraId="5C50C31B" w14:textId="31780399" w:rsidR="000F0B76" w:rsidRPr="000F0B76" w:rsidRDefault="000F0B76" w:rsidP="00F25667">
      <w:pPr>
        <w:pStyle w:val="MDPI16affiliation"/>
        <w:jc w:val="center"/>
        <w:rPr>
          <w:rFonts w:ascii="Tw Cen MT" w:eastAsia="Tw Cen MT" w:hAnsi="Tw Cen MT" w:cs="Tw Cen MT"/>
          <w:color w:val="auto"/>
          <w:lang w:eastAsia="en-US" w:bidi="ar-SA"/>
        </w:rPr>
      </w:pPr>
      <w:r w:rsidRPr="000F0B76">
        <w:rPr>
          <w:rFonts w:ascii="Tw Cen MT" w:eastAsia="Tw Cen MT" w:hAnsi="Tw Cen MT" w:cs="Tw Cen MT"/>
          <w:color w:val="auto"/>
          <w:lang w:eastAsia="en-US" w:bidi="ar-SA"/>
        </w:rPr>
        <w:t>2</w:t>
      </w:r>
      <w:r w:rsidRPr="000F0B76">
        <w:rPr>
          <w:rFonts w:ascii="Tw Cen MT" w:eastAsia="Tw Cen MT" w:hAnsi="Tw Cen MT" w:cs="Tw Cen MT"/>
          <w:color w:val="auto"/>
          <w:lang w:eastAsia="en-US" w:bidi="ar-SA"/>
        </w:rPr>
        <w:tab/>
      </w:r>
      <w:hyperlink r:id="rId7" w:history="1">
        <w:proofErr w:type="spellStart"/>
        <w:r w:rsidR="00F25667" w:rsidRPr="00F25667">
          <w:rPr>
            <w:rFonts w:ascii="Tw Cen MT" w:eastAsia="Tw Cen MT" w:hAnsi="Tw Cen MT" w:cs="Tw Cen MT"/>
            <w:color w:val="auto"/>
            <w:lang w:eastAsia="en-US" w:bidi="ar-SA"/>
          </w:rPr>
          <w:t>Therm</w:t>
        </w:r>
        <w:r w:rsidR="00F25667" w:rsidRPr="00F25667">
          <w:rPr>
            <w:rFonts w:ascii="Tw Cen MT" w:eastAsia="Tw Cen MT" w:hAnsi="Tw Cen MT" w:cs="Tw Cen MT"/>
            <w:color w:val="auto"/>
            <w:lang w:eastAsia="en-US" w:bidi="ar-SA"/>
          </w:rPr>
          <w:t>o</w:t>
        </w:r>
        <w:proofErr w:type="spellEnd"/>
        <w:r w:rsidR="00F25667">
          <w:rPr>
            <w:rFonts w:ascii="Tw Cen MT" w:eastAsia="Tw Cen MT" w:hAnsi="Tw Cen MT" w:cs="Tw Cen MT"/>
            <w:color w:val="auto"/>
            <w:lang w:eastAsia="en-US" w:bidi="ar-SA"/>
          </w:rPr>
          <w:t xml:space="preserve"> </w:t>
        </w:r>
        <w:r w:rsidR="00F25667" w:rsidRPr="00F25667">
          <w:rPr>
            <w:rFonts w:ascii="Tw Cen MT" w:eastAsia="Tw Cen MT" w:hAnsi="Tw Cen MT" w:cs="Tw Cen MT"/>
            <w:color w:val="auto"/>
            <w:lang w:eastAsia="en-US" w:bidi="ar-SA"/>
          </w:rPr>
          <w:t>F</w:t>
        </w:r>
        <w:r w:rsidR="00F25667" w:rsidRPr="00F25667">
          <w:rPr>
            <w:rFonts w:ascii="Tw Cen MT" w:eastAsia="Tw Cen MT" w:hAnsi="Tw Cen MT" w:cs="Tw Cen MT"/>
            <w:color w:val="auto"/>
            <w:lang w:eastAsia="en-US" w:bidi="ar-SA"/>
          </w:rPr>
          <w:t>isher Scientific</w:t>
        </w:r>
      </w:hyperlink>
      <w:r w:rsidRPr="000F0B76">
        <w:rPr>
          <w:rFonts w:ascii="Tw Cen MT" w:eastAsia="Tw Cen MT" w:hAnsi="Tw Cen MT" w:cs="Tw Cen MT"/>
          <w:color w:val="auto"/>
          <w:lang w:eastAsia="en-US" w:bidi="ar-SA"/>
        </w:rPr>
        <w:t>, 5350 NE Dawson Creek Drive, Hillsboro, Oregon 97124, USA</w:t>
      </w:r>
    </w:p>
    <w:p w14:paraId="2159DCCB" w14:textId="77777777" w:rsidR="000F0B76" w:rsidRPr="000F0B76" w:rsidRDefault="000F0B76" w:rsidP="000F0B76">
      <w:pPr>
        <w:pStyle w:val="MDPI16affiliation"/>
        <w:jc w:val="center"/>
        <w:rPr>
          <w:rFonts w:ascii="Tw Cen MT" w:eastAsia="Tw Cen MT" w:hAnsi="Tw Cen MT" w:cs="Tw Cen MT"/>
          <w:color w:val="auto"/>
          <w:lang w:eastAsia="en-US" w:bidi="ar-SA"/>
        </w:rPr>
      </w:pPr>
      <w:r w:rsidRPr="000F0B76">
        <w:rPr>
          <w:rFonts w:ascii="Tw Cen MT" w:eastAsia="Tw Cen MT" w:hAnsi="Tw Cen MT" w:cs="Tw Cen MT"/>
          <w:color w:val="auto"/>
          <w:lang w:eastAsia="en-US" w:bidi="ar-SA"/>
        </w:rPr>
        <w:t>3</w:t>
      </w:r>
      <w:r w:rsidRPr="000F0B76">
        <w:rPr>
          <w:rFonts w:ascii="Tw Cen MT" w:eastAsia="Tw Cen MT" w:hAnsi="Tw Cen MT" w:cs="Tw Cen MT"/>
          <w:color w:val="auto"/>
          <w:lang w:eastAsia="en-US" w:bidi="ar-SA"/>
        </w:rPr>
        <w:tab/>
        <w:t xml:space="preserve">Department of Physics and Nanotechnology, SRM University, Research Institute, </w:t>
      </w:r>
      <w:proofErr w:type="spellStart"/>
      <w:r w:rsidRPr="000F0B76">
        <w:rPr>
          <w:rFonts w:ascii="Tw Cen MT" w:eastAsia="Tw Cen MT" w:hAnsi="Tw Cen MT" w:cs="Tw Cen MT"/>
          <w:color w:val="auto"/>
          <w:lang w:eastAsia="en-US" w:bidi="ar-SA"/>
        </w:rPr>
        <w:t>Kattankulathur</w:t>
      </w:r>
      <w:proofErr w:type="spellEnd"/>
      <w:r w:rsidRPr="000F0B76">
        <w:rPr>
          <w:rFonts w:ascii="Tw Cen MT" w:eastAsia="Tw Cen MT" w:hAnsi="Tw Cen MT" w:cs="Tw Cen MT"/>
          <w:color w:val="auto"/>
          <w:lang w:eastAsia="en-US" w:bidi="ar-SA"/>
        </w:rPr>
        <w:t>, Chennai 603203, India</w:t>
      </w:r>
    </w:p>
    <w:p w14:paraId="12ECC853" w14:textId="77777777" w:rsidR="00AE3E37" w:rsidRDefault="00AE3E37">
      <w:pPr>
        <w:pStyle w:val="BodyText"/>
        <w:spacing w:before="3"/>
        <w:rPr>
          <w:rFonts w:ascii="Arial"/>
          <w:sz w:val="21"/>
        </w:rPr>
      </w:pPr>
    </w:p>
    <w:p w14:paraId="20CDCE2E" w14:textId="77777777"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14:paraId="5C41BE7C" w14:textId="73FAA177" w:rsidR="00661AB9" w:rsidRPr="00B42DEB" w:rsidRDefault="00A9710C" w:rsidP="00B42DEB">
      <w:pPr>
        <w:pStyle w:val="Heading3"/>
        <w:spacing w:before="147"/>
        <w:jc w:val="both"/>
        <w:rPr>
          <w:color w:val="BF5A14"/>
        </w:rPr>
      </w:pPr>
      <w:r>
        <w:rPr>
          <w:color w:val="BF5A14"/>
        </w:rPr>
        <w:t>Abstract</w:t>
      </w:r>
      <w:r w:rsidR="00B42DEB">
        <w:rPr>
          <w:color w:val="BF5A14"/>
        </w:rPr>
        <w:t xml:space="preserve"> </w:t>
      </w:r>
    </w:p>
    <w:p w14:paraId="4ACD4273" w14:textId="5FD36803" w:rsidR="00661AB9" w:rsidRPr="00661AB9" w:rsidRDefault="00661AB9" w:rsidP="00661AB9">
      <w:pPr>
        <w:pStyle w:val="BodyText"/>
      </w:pPr>
      <w:r w:rsidRPr="00661AB9">
        <w:t>Besides being of technological interest, thin films of different battery components, especially active cathode</w:t>
      </w:r>
      <w:r>
        <w:t xml:space="preserve"> materials, can be utilized for </w:t>
      </w:r>
      <w:r w:rsidRPr="00661AB9">
        <w:t>fundamental studies of the processes that govern the battery’s properties. Cathodes utilized in commercial lithium batteries are complex systems consisting of a polycrystalline active material in the form of a powder mixed with conductive carbon and a binding material. A simple system with no additives is desirable for use in the investigation of interfacial reactions, especially for local microstructural studies by transmission electron microscopy (TEM). Such systems, when synthesized in the form of a thin film, especially as a single (or pseudo-single) crystal epitaxial film, can provide powerful insight into the processes occurring on a well-described two-dimensional interface, as well as the film interior. In our recent works we successfully utilized LiCoO</w:t>
      </w:r>
      <w:r w:rsidRPr="003F2653">
        <w:rPr>
          <w:vertAlign w:val="subscript"/>
        </w:rPr>
        <w:t>2</w:t>
      </w:r>
      <w:r w:rsidRPr="00661AB9">
        <w:t xml:space="preserve"> epitaxial films to study details of structural changes during electrochemical cycling. In the work</w:t>
      </w:r>
      <w:r w:rsidR="003F2653">
        <w:t xml:space="preserve"> </w:t>
      </w:r>
      <w:r w:rsidRPr="00661AB9">
        <w:t>present</w:t>
      </w:r>
      <w:r w:rsidR="003F2653">
        <w:t>ed</w:t>
      </w:r>
      <w:r w:rsidRPr="00661AB9">
        <w:t xml:space="preserve"> here the similar approach was extended to other important cathode systems, as well as for studying </w:t>
      </w:r>
      <w:r w:rsidR="003F2653">
        <w:t xml:space="preserve">some </w:t>
      </w:r>
      <w:r w:rsidRPr="00661AB9">
        <w:t>solid electrolytes.</w:t>
      </w:r>
    </w:p>
    <w:p w14:paraId="131DA4A4" w14:textId="77777777" w:rsidR="007D3A55" w:rsidRDefault="00A9710C" w:rsidP="007D3A55">
      <w:pPr>
        <w:pStyle w:val="Heading3"/>
        <w:spacing w:before="74"/>
        <w:ind w:left="0"/>
        <w:rPr>
          <w:color w:val="BF5A14"/>
        </w:rPr>
      </w:pPr>
      <w:r>
        <w:rPr>
          <w:color w:val="BF5A14"/>
        </w:rPr>
        <w:t>Image</w:t>
      </w:r>
    </w:p>
    <w:p w14:paraId="52F49C74" w14:textId="77777777" w:rsidR="00665DCB" w:rsidRDefault="00665DCB" w:rsidP="00665DCB">
      <w:pPr>
        <w:jc w:val="center"/>
        <w:rPr>
          <w:rFonts w:ascii="Times New Roman" w:hAnsi="Times New Roman"/>
          <w:sz w:val="20"/>
        </w:rPr>
      </w:pPr>
      <w:r w:rsidRPr="00FB4DCB">
        <w:rPr>
          <w:rFonts w:ascii="Times New Roman" w:hAnsi="Times New Roman"/>
          <w:noProof/>
          <w:sz w:val="20"/>
          <w:lang w:bidi="he-IL"/>
        </w:rPr>
        <w:drawing>
          <wp:inline distT="0" distB="0" distL="0" distR="0" wp14:anchorId="5EEC357A" wp14:editId="07E545F9">
            <wp:extent cx="2856322" cy="1833117"/>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4293" cy="1844650"/>
                    </a:xfrm>
                    <a:prstGeom prst="rect">
                      <a:avLst/>
                    </a:prstGeom>
                    <a:noFill/>
                    <a:ln>
                      <a:noFill/>
                    </a:ln>
                  </pic:spPr>
                </pic:pic>
              </a:graphicData>
            </a:graphic>
          </wp:inline>
        </w:drawing>
      </w:r>
    </w:p>
    <w:p w14:paraId="0D22E6EF" w14:textId="77777777" w:rsidR="00665DCB" w:rsidRDefault="00665DCB" w:rsidP="00665DCB">
      <w:pPr>
        <w:jc w:val="both"/>
        <w:rPr>
          <w:rFonts w:ascii="Times New Roman" w:hAnsi="Times New Roman"/>
          <w:sz w:val="20"/>
        </w:rPr>
      </w:pPr>
    </w:p>
    <w:p w14:paraId="7341EEAF" w14:textId="71D0A265" w:rsidR="007D3A55" w:rsidRPr="00B42DEB" w:rsidRDefault="00665DCB" w:rsidP="00B42DEB">
      <w:pPr>
        <w:tabs>
          <w:tab w:val="left" w:pos="220"/>
          <w:tab w:val="left" w:pos="720"/>
        </w:tabs>
        <w:autoSpaceDE w:val="0"/>
        <w:autoSpaceDN w:val="0"/>
        <w:adjustRightInd w:val="0"/>
        <w:spacing w:after="240" w:line="300" w:lineRule="atLeast"/>
        <w:rPr>
          <w:rFonts w:ascii="Times New Roman" w:hAnsi="Times New Roman"/>
          <w:color w:val="000000"/>
          <w:sz w:val="20"/>
        </w:rPr>
      </w:pPr>
      <w:r w:rsidRPr="003F2653">
        <w:rPr>
          <w:sz w:val="18"/>
          <w:szCs w:val="18"/>
        </w:rPr>
        <w:t>Fig. 1 (</w:t>
      </w:r>
      <w:proofErr w:type="spellStart"/>
      <w:proofErr w:type="gramStart"/>
      <w:r w:rsidRPr="003F2653">
        <w:rPr>
          <w:sz w:val="18"/>
          <w:szCs w:val="18"/>
        </w:rPr>
        <w:t>a,b</w:t>
      </w:r>
      <w:proofErr w:type="spellEnd"/>
      <w:proofErr w:type="gramEnd"/>
      <w:r w:rsidRPr="003F2653">
        <w:rPr>
          <w:sz w:val="18"/>
          <w:szCs w:val="18"/>
        </w:rPr>
        <w:t>) Schematic drawings of studied thin-film configurations; (c) Cyclic voltammograms of LiCoO</w:t>
      </w:r>
      <w:r w:rsidRPr="00A00766">
        <w:rPr>
          <w:sz w:val="18"/>
          <w:szCs w:val="18"/>
          <w:vertAlign w:val="subscript"/>
        </w:rPr>
        <w:t>2</w:t>
      </w:r>
      <w:r w:rsidRPr="003F2653">
        <w:rPr>
          <w:sz w:val="18"/>
          <w:szCs w:val="18"/>
        </w:rPr>
        <w:t>/SRO/STO configuration; (d) Structural changes in the LiCoO</w:t>
      </w:r>
      <w:r w:rsidRPr="00A00766">
        <w:rPr>
          <w:sz w:val="18"/>
          <w:szCs w:val="18"/>
          <w:vertAlign w:val="subscript"/>
        </w:rPr>
        <w:t>2</w:t>
      </w:r>
      <w:r w:rsidRPr="003F2653">
        <w:rPr>
          <w:sz w:val="18"/>
          <w:szCs w:val="18"/>
        </w:rPr>
        <w:t xml:space="preserve"> film seen by HAADF-STEM.</w:t>
      </w:r>
      <w:r w:rsidRPr="00166B85">
        <w:rPr>
          <w:rFonts w:ascii="Times New Roman" w:hAnsi="Times New Roman"/>
          <w:color w:val="000000"/>
          <w:sz w:val="20"/>
        </w:rPr>
        <w:t xml:space="preserve"> </w:t>
      </w:r>
    </w:p>
    <w:p w14:paraId="436E97E0" w14:textId="77777777" w:rsidR="00AE3E37" w:rsidRDefault="00AE3E37" w:rsidP="007D3A55">
      <w:pPr>
        <w:pStyle w:val="BodyText"/>
        <w:spacing w:before="2"/>
        <w:jc w:val="center"/>
        <w:rPr>
          <w:rFonts w:ascii="Arial"/>
          <w:b/>
          <w:sz w:val="16"/>
        </w:rPr>
      </w:pPr>
    </w:p>
    <w:p w14:paraId="04C54039" w14:textId="77777777" w:rsidR="007D3A55" w:rsidRDefault="007D3A55" w:rsidP="005973B9">
      <w:pPr>
        <w:spacing w:line="204" w:lineRule="exact"/>
        <w:rPr>
          <w:rFonts w:ascii="Arial"/>
          <w:b/>
          <w:color w:val="BF5A14"/>
          <w:sz w:val="20"/>
        </w:rPr>
      </w:pPr>
    </w:p>
    <w:p w14:paraId="1E3D8800" w14:textId="5EE52A49" w:rsidR="005973B9" w:rsidRDefault="005973B9" w:rsidP="005973B9">
      <w:pPr>
        <w:spacing w:line="204" w:lineRule="exact"/>
        <w:rPr>
          <w:rFonts w:ascii="Arial"/>
          <w:b/>
          <w:sz w:val="20"/>
        </w:rPr>
      </w:pPr>
      <w:r>
        <w:rPr>
          <w:rFonts w:ascii="Arial"/>
          <w:b/>
          <w:color w:val="BF5A14"/>
          <w:sz w:val="20"/>
        </w:rPr>
        <w:t>Recent Publications</w:t>
      </w:r>
      <w:r w:rsidR="006338FF">
        <w:rPr>
          <w:rFonts w:ascii="Arial"/>
          <w:b/>
          <w:color w:val="BF5A14"/>
          <w:sz w:val="20"/>
        </w:rPr>
        <w:t xml:space="preserve"> </w:t>
      </w:r>
    </w:p>
    <w:p w14:paraId="73C56BCC" w14:textId="18724E73" w:rsidR="00661AB9" w:rsidRPr="00C15F55" w:rsidRDefault="00665DCB" w:rsidP="005973B9">
      <w:pPr>
        <w:pStyle w:val="ListParagraph"/>
        <w:numPr>
          <w:ilvl w:val="0"/>
          <w:numId w:val="3"/>
        </w:numPr>
        <w:tabs>
          <w:tab w:val="left" w:pos="384"/>
        </w:tabs>
        <w:spacing w:line="216" w:lineRule="exact"/>
        <w:ind w:right="137" w:hanging="283"/>
        <w:rPr>
          <w:rFonts w:ascii="Tw Cen MT" w:eastAsia="Tw Cen MT" w:hAnsi="Tw Cen MT" w:cs="Tw Cen MT"/>
          <w:sz w:val="18"/>
          <w:szCs w:val="18"/>
        </w:rPr>
      </w:pPr>
      <w:r w:rsidRPr="00C15F55">
        <w:rPr>
          <w:rFonts w:ascii="Tw Cen MT" w:eastAsia="Tw Cen MT" w:hAnsi="Tw Cen MT" w:cs="Tw Cen MT"/>
          <w:sz w:val="18"/>
          <w:szCs w:val="18"/>
        </w:rPr>
        <w:t>Bendersky</w:t>
      </w:r>
      <w:r w:rsidR="00661AB9" w:rsidRPr="00C15F55">
        <w:rPr>
          <w:rFonts w:ascii="Tw Cen MT" w:eastAsia="Tw Cen MT" w:hAnsi="Tw Cen MT" w:cs="Tw Cen MT"/>
          <w:sz w:val="18"/>
          <w:szCs w:val="18"/>
        </w:rPr>
        <w:t xml:space="preserve"> LA</w:t>
      </w:r>
      <w:r w:rsidRPr="00C15F55">
        <w:rPr>
          <w:rFonts w:ascii="Tw Cen MT" w:eastAsia="Tw Cen MT" w:hAnsi="Tw Cen MT" w:cs="Tw Cen MT"/>
          <w:sz w:val="18"/>
          <w:szCs w:val="18"/>
        </w:rPr>
        <w:t>, Tan</w:t>
      </w:r>
      <w:r w:rsidR="00661AB9" w:rsidRPr="00C15F55">
        <w:rPr>
          <w:rFonts w:ascii="Tw Cen MT" w:eastAsia="Tw Cen MT" w:hAnsi="Tw Cen MT" w:cs="Tw Cen MT"/>
          <w:sz w:val="18"/>
          <w:szCs w:val="18"/>
        </w:rPr>
        <w:t xml:space="preserve"> H</w:t>
      </w:r>
      <w:r w:rsidRPr="00C15F55">
        <w:rPr>
          <w:rFonts w:ascii="Tw Cen MT" w:eastAsia="Tw Cen MT" w:hAnsi="Tw Cen MT" w:cs="Tw Cen MT"/>
          <w:sz w:val="18"/>
          <w:szCs w:val="18"/>
        </w:rPr>
        <w:t>, Bharathi</w:t>
      </w:r>
      <w:r w:rsidR="00661AB9" w:rsidRPr="00C15F55">
        <w:rPr>
          <w:rFonts w:ascii="Tw Cen MT" w:eastAsia="Tw Cen MT" w:hAnsi="Tw Cen MT" w:cs="Tw Cen MT"/>
          <w:sz w:val="18"/>
          <w:szCs w:val="18"/>
        </w:rPr>
        <w:t xml:space="preserve"> KK</w:t>
      </w:r>
      <w:r w:rsidRPr="00C15F55">
        <w:rPr>
          <w:rFonts w:ascii="Tw Cen MT" w:eastAsia="Tw Cen MT" w:hAnsi="Tw Cen MT" w:cs="Tw Cen MT"/>
          <w:sz w:val="18"/>
          <w:szCs w:val="18"/>
        </w:rPr>
        <w:t>, L</w:t>
      </w:r>
      <w:r w:rsidR="00661AB9" w:rsidRPr="00C15F55">
        <w:rPr>
          <w:rFonts w:ascii="Tw Cen MT" w:eastAsia="Tw Cen MT" w:hAnsi="Tw Cen MT" w:cs="Tw Cen MT"/>
          <w:sz w:val="18"/>
          <w:szCs w:val="18"/>
        </w:rPr>
        <w:t>i ZP,</w:t>
      </w:r>
      <w:r w:rsidRPr="00C15F55">
        <w:rPr>
          <w:rFonts w:ascii="Tw Cen MT" w:eastAsia="Tw Cen MT" w:hAnsi="Tw Cen MT" w:cs="Tw Cen MT"/>
          <w:sz w:val="18"/>
          <w:szCs w:val="18"/>
        </w:rPr>
        <w:t xml:space="preserve"> Johnston-Peck</w:t>
      </w:r>
      <w:r w:rsidR="00661AB9" w:rsidRPr="00C15F55">
        <w:rPr>
          <w:rFonts w:ascii="Tw Cen MT" w:eastAsia="Tw Cen MT" w:hAnsi="Tw Cen MT" w:cs="Tw Cen MT"/>
          <w:sz w:val="18"/>
          <w:szCs w:val="18"/>
        </w:rPr>
        <w:t xml:space="preserve"> AC (2017) </w:t>
      </w:r>
      <w:r w:rsidRPr="00C15F55">
        <w:rPr>
          <w:rFonts w:ascii="Tw Cen MT" w:eastAsia="Tw Cen MT" w:hAnsi="Tw Cen MT" w:cs="Tw Cen MT"/>
          <w:sz w:val="18"/>
          <w:szCs w:val="18"/>
        </w:rPr>
        <w:t>Using epitaxial films to study fundamental properties of cathode materials for modern Li-ion batteries</w:t>
      </w:r>
      <w:r w:rsidR="00661AB9" w:rsidRPr="00C15F55">
        <w:rPr>
          <w:rFonts w:ascii="Tw Cen MT" w:eastAsia="Tw Cen MT" w:hAnsi="Tw Cen MT" w:cs="Tw Cen MT"/>
          <w:sz w:val="18"/>
          <w:szCs w:val="18"/>
        </w:rPr>
        <w:t>.</w:t>
      </w:r>
      <w:r w:rsidRPr="00C15F55">
        <w:rPr>
          <w:rFonts w:ascii="Tw Cen MT" w:eastAsia="Tw Cen MT" w:hAnsi="Tw Cen MT" w:cs="Tw Cen MT"/>
          <w:sz w:val="18"/>
          <w:szCs w:val="18"/>
        </w:rPr>
        <w:t xml:space="preserve"> Crystals, 7(5)</w:t>
      </w:r>
      <w:r w:rsidR="00E91F6B">
        <w:rPr>
          <w:rFonts w:ascii="Tw Cen MT" w:eastAsia="Tw Cen MT" w:hAnsi="Tw Cen MT" w:cs="Tw Cen MT"/>
          <w:sz w:val="18"/>
          <w:szCs w:val="18"/>
        </w:rPr>
        <w:t>:</w:t>
      </w:r>
      <w:r w:rsidRPr="00C15F55">
        <w:rPr>
          <w:rFonts w:ascii="Tw Cen MT" w:eastAsia="Tw Cen MT" w:hAnsi="Tw Cen MT" w:cs="Tw Cen MT"/>
          <w:sz w:val="18"/>
          <w:szCs w:val="18"/>
        </w:rPr>
        <w:t>127</w:t>
      </w:r>
      <w:r w:rsidR="00661AB9" w:rsidRPr="00C15F55">
        <w:rPr>
          <w:rFonts w:ascii="Tw Cen MT" w:eastAsia="Tw Cen MT" w:hAnsi="Tw Cen MT" w:cs="Tw Cen MT"/>
          <w:sz w:val="18"/>
          <w:szCs w:val="18"/>
        </w:rPr>
        <w:t>-143</w:t>
      </w:r>
    </w:p>
    <w:p w14:paraId="3862B147" w14:textId="20729FE0" w:rsidR="00E91F6B" w:rsidRPr="00E91F6B" w:rsidRDefault="00E91F6B" w:rsidP="00E91F6B">
      <w:pPr>
        <w:pStyle w:val="ListParagraph"/>
        <w:numPr>
          <w:ilvl w:val="0"/>
          <w:numId w:val="3"/>
        </w:numPr>
        <w:tabs>
          <w:tab w:val="left" w:pos="384"/>
        </w:tabs>
        <w:spacing w:line="216" w:lineRule="exact"/>
        <w:ind w:right="137" w:hanging="283"/>
        <w:rPr>
          <w:rFonts w:ascii="Tw Cen MT" w:eastAsia="Tw Cen MT" w:hAnsi="Tw Cen MT" w:cs="Tw Cen MT"/>
          <w:sz w:val="18"/>
          <w:szCs w:val="18"/>
        </w:rPr>
      </w:pPr>
      <w:r w:rsidRPr="00E91F6B">
        <w:rPr>
          <w:rFonts w:ascii="Tw Cen MT" w:eastAsia="Tw Cen MT" w:hAnsi="Tw Cen MT" w:cs="Tw Cen MT"/>
          <w:sz w:val="18"/>
          <w:szCs w:val="18"/>
        </w:rPr>
        <w:t>Johnston-Peck</w:t>
      </w:r>
      <w:r>
        <w:rPr>
          <w:rFonts w:ascii="Tw Cen MT" w:eastAsia="Tw Cen MT" w:hAnsi="Tw Cen MT" w:cs="Tw Cen MT"/>
          <w:sz w:val="18"/>
          <w:szCs w:val="18"/>
        </w:rPr>
        <w:t xml:space="preserve"> AC</w:t>
      </w:r>
      <w:r w:rsidRPr="00E91F6B">
        <w:rPr>
          <w:rFonts w:ascii="Tw Cen MT" w:eastAsia="Tw Cen MT" w:hAnsi="Tw Cen MT" w:cs="Tw Cen MT"/>
          <w:sz w:val="18"/>
          <w:szCs w:val="18"/>
        </w:rPr>
        <w:t>,</w:t>
      </w:r>
      <w:r>
        <w:rPr>
          <w:rFonts w:ascii="Tw Cen MT" w:eastAsia="Tw Cen MT" w:hAnsi="Tw Cen MT" w:cs="Tw Cen MT"/>
          <w:sz w:val="18"/>
          <w:szCs w:val="18"/>
        </w:rPr>
        <w:t xml:space="preserve"> </w:t>
      </w:r>
      <w:r w:rsidRPr="00E91F6B">
        <w:rPr>
          <w:rFonts w:ascii="Tw Cen MT" w:eastAsia="Tw Cen MT" w:hAnsi="Tw Cen MT" w:cs="Tw Cen MT"/>
          <w:sz w:val="18"/>
          <w:szCs w:val="18"/>
        </w:rPr>
        <w:t>Takeuchi</w:t>
      </w:r>
      <w:r>
        <w:rPr>
          <w:rFonts w:ascii="Tw Cen MT" w:eastAsia="Tw Cen MT" w:hAnsi="Tw Cen MT" w:cs="Tw Cen MT"/>
          <w:sz w:val="18"/>
          <w:szCs w:val="18"/>
        </w:rPr>
        <w:t xml:space="preserve"> S</w:t>
      </w:r>
      <w:r w:rsidRPr="00E91F6B">
        <w:rPr>
          <w:rFonts w:ascii="Tw Cen MT" w:eastAsia="Tw Cen MT" w:hAnsi="Tw Cen MT" w:cs="Tw Cen MT"/>
          <w:sz w:val="18"/>
          <w:szCs w:val="18"/>
        </w:rPr>
        <w:t>, Bharathi</w:t>
      </w:r>
      <w:r>
        <w:rPr>
          <w:rFonts w:ascii="Tw Cen MT" w:eastAsia="Tw Cen MT" w:hAnsi="Tw Cen MT" w:cs="Tw Cen MT"/>
          <w:sz w:val="18"/>
          <w:szCs w:val="18"/>
        </w:rPr>
        <w:t xml:space="preserve"> KK</w:t>
      </w:r>
      <w:r w:rsidRPr="00E91F6B">
        <w:rPr>
          <w:rFonts w:ascii="Tw Cen MT" w:eastAsia="Tw Cen MT" w:hAnsi="Tw Cen MT" w:cs="Tw Cen MT"/>
          <w:sz w:val="18"/>
          <w:szCs w:val="18"/>
        </w:rPr>
        <w:t>, Herzing</w:t>
      </w:r>
      <w:r>
        <w:rPr>
          <w:rFonts w:ascii="Tw Cen MT" w:eastAsia="Tw Cen MT" w:hAnsi="Tw Cen MT" w:cs="Tw Cen MT"/>
          <w:sz w:val="18"/>
          <w:szCs w:val="18"/>
        </w:rPr>
        <w:t xml:space="preserve"> AA</w:t>
      </w:r>
      <w:r w:rsidRPr="00E91F6B">
        <w:rPr>
          <w:rFonts w:ascii="Tw Cen MT" w:eastAsia="Tw Cen MT" w:hAnsi="Tw Cen MT" w:cs="Tw Cen MT"/>
          <w:sz w:val="18"/>
          <w:szCs w:val="18"/>
        </w:rPr>
        <w:t>,</w:t>
      </w:r>
      <w:r>
        <w:rPr>
          <w:rFonts w:ascii="Tw Cen MT" w:eastAsia="Tw Cen MT" w:hAnsi="Tw Cen MT" w:cs="Tw Cen MT"/>
          <w:sz w:val="18"/>
          <w:szCs w:val="18"/>
        </w:rPr>
        <w:t xml:space="preserve"> </w:t>
      </w:r>
      <w:r w:rsidRPr="00E91F6B">
        <w:rPr>
          <w:rFonts w:ascii="Tw Cen MT" w:eastAsia="Tw Cen MT" w:hAnsi="Tw Cen MT" w:cs="Tw Cen MT"/>
          <w:sz w:val="18"/>
          <w:szCs w:val="18"/>
        </w:rPr>
        <w:t>Bendersky</w:t>
      </w:r>
      <w:r>
        <w:rPr>
          <w:rFonts w:ascii="Tw Cen MT" w:eastAsia="Tw Cen MT" w:hAnsi="Tw Cen MT" w:cs="Tw Cen MT"/>
          <w:sz w:val="18"/>
          <w:szCs w:val="18"/>
        </w:rPr>
        <w:t xml:space="preserve"> LA (2018) </w:t>
      </w:r>
      <w:r w:rsidRPr="00E91F6B">
        <w:rPr>
          <w:rFonts w:ascii="Tw Cen MT" w:eastAsia="Tw Cen MT" w:hAnsi="Tw Cen MT" w:cs="Tw Cen MT"/>
          <w:sz w:val="18"/>
          <w:szCs w:val="18"/>
        </w:rPr>
        <w:t>Local degradation pathways in lithium-rich manganese-nickel-cobalt-oxide epitaxial thin films</w:t>
      </w:r>
      <w:r>
        <w:rPr>
          <w:rFonts w:ascii="Tw Cen MT" w:eastAsia="Tw Cen MT" w:hAnsi="Tw Cen MT" w:cs="Tw Cen MT"/>
          <w:sz w:val="18"/>
          <w:szCs w:val="18"/>
        </w:rPr>
        <w:t>.</w:t>
      </w:r>
      <w:r w:rsidRPr="00E91F6B">
        <w:rPr>
          <w:rFonts w:ascii="Tw Cen MT" w:eastAsia="Tw Cen MT" w:hAnsi="Tw Cen MT" w:cs="Tw Cen MT"/>
          <w:sz w:val="18"/>
          <w:szCs w:val="18"/>
        </w:rPr>
        <w:t xml:space="preserve"> Journal of Materials Science, 53(2)</w:t>
      </w:r>
      <w:r>
        <w:rPr>
          <w:rFonts w:ascii="Tw Cen MT" w:eastAsia="Tw Cen MT" w:hAnsi="Tw Cen MT" w:cs="Tw Cen MT"/>
          <w:sz w:val="18"/>
          <w:szCs w:val="18"/>
        </w:rPr>
        <w:t>:</w:t>
      </w:r>
      <w:r w:rsidRPr="00E91F6B">
        <w:rPr>
          <w:rFonts w:ascii="Tw Cen MT" w:eastAsia="Tw Cen MT" w:hAnsi="Tw Cen MT" w:cs="Tw Cen MT"/>
          <w:sz w:val="18"/>
          <w:szCs w:val="18"/>
        </w:rPr>
        <w:t>1365-1379</w:t>
      </w:r>
    </w:p>
    <w:p w14:paraId="6826E1E5" w14:textId="3618FABA" w:rsidR="00E91F6B" w:rsidRPr="00E91F6B" w:rsidRDefault="00E91F6B" w:rsidP="00E91F6B">
      <w:pPr>
        <w:pStyle w:val="ListParagraph"/>
        <w:numPr>
          <w:ilvl w:val="0"/>
          <w:numId w:val="3"/>
        </w:numPr>
        <w:tabs>
          <w:tab w:val="left" w:pos="384"/>
        </w:tabs>
        <w:spacing w:line="216" w:lineRule="exact"/>
        <w:ind w:right="137" w:hanging="283"/>
        <w:rPr>
          <w:rFonts w:ascii="Tw Cen MT" w:eastAsia="Tw Cen MT" w:hAnsi="Tw Cen MT" w:cs="Tw Cen MT"/>
          <w:sz w:val="18"/>
          <w:szCs w:val="18"/>
        </w:rPr>
      </w:pPr>
      <w:r w:rsidRPr="00E91F6B">
        <w:rPr>
          <w:rFonts w:ascii="Tw Cen MT" w:eastAsia="Tw Cen MT" w:hAnsi="Tw Cen MT" w:cs="Tw Cen MT"/>
          <w:sz w:val="18"/>
          <w:szCs w:val="18"/>
        </w:rPr>
        <w:t>Bendersky</w:t>
      </w:r>
      <w:r>
        <w:rPr>
          <w:rFonts w:ascii="Tw Cen MT" w:eastAsia="Tw Cen MT" w:hAnsi="Tw Cen MT" w:cs="Tw Cen MT"/>
          <w:sz w:val="18"/>
          <w:szCs w:val="18"/>
        </w:rPr>
        <w:t xml:space="preserve"> LA</w:t>
      </w:r>
      <w:r w:rsidRPr="00E91F6B">
        <w:rPr>
          <w:rFonts w:ascii="Tw Cen MT" w:eastAsia="Tw Cen MT" w:hAnsi="Tw Cen MT" w:cs="Tw Cen MT"/>
          <w:sz w:val="18"/>
          <w:szCs w:val="18"/>
        </w:rPr>
        <w:t>,</w:t>
      </w:r>
      <w:r>
        <w:rPr>
          <w:rFonts w:ascii="Tw Cen MT" w:eastAsia="Tw Cen MT" w:hAnsi="Tw Cen MT" w:cs="Tw Cen MT"/>
          <w:sz w:val="18"/>
          <w:szCs w:val="18"/>
        </w:rPr>
        <w:t xml:space="preserve"> </w:t>
      </w:r>
      <w:r w:rsidRPr="00E91F6B">
        <w:rPr>
          <w:rFonts w:ascii="Tw Cen MT" w:eastAsia="Tw Cen MT" w:hAnsi="Tw Cen MT" w:cs="Tw Cen MT"/>
          <w:sz w:val="18"/>
          <w:szCs w:val="18"/>
        </w:rPr>
        <w:t>Shen</w:t>
      </w:r>
      <w:r>
        <w:rPr>
          <w:rFonts w:ascii="Tw Cen MT" w:eastAsia="Tw Cen MT" w:hAnsi="Tw Cen MT" w:cs="Tw Cen MT"/>
          <w:sz w:val="18"/>
          <w:szCs w:val="18"/>
        </w:rPr>
        <w:t xml:space="preserve"> H</w:t>
      </w:r>
      <w:r w:rsidRPr="00E91F6B">
        <w:rPr>
          <w:rFonts w:ascii="Tw Cen MT" w:eastAsia="Tw Cen MT" w:hAnsi="Tw Cen MT" w:cs="Tw Cen MT"/>
          <w:sz w:val="18"/>
          <w:szCs w:val="18"/>
        </w:rPr>
        <w:t>,</w:t>
      </w:r>
      <w:r>
        <w:rPr>
          <w:rFonts w:ascii="Tw Cen MT" w:eastAsia="Tw Cen MT" w:hAnsi="Tw Cen MT" w:cs="Tw Cen MT"/>
          <w:sz w:val="18"/>
          <w:szCs w:val="18"/>
        </w:rPr>
        <w:t xml:space="preserve"> </w:t>
      </w:r>
      <w:r w:rsidRPr="00E91F6B">
        <w:rPr>
          <w:rFonts w:ascii="Tw Cen MT" w:eastAsia="Tw Cen MT" w:hAnsi="Tw Cen MT" w:cs="Tw Cen MT"/>
          <w:sz w:val="18"/>
          <w:szCs w:val="18"/>
        </w:rPr>
        <w:t>Young</w:t>
      </w:r>
      <w:r>
        <w:rPr>
          <w:rFonts w:ascii="Tw Cen MT" w:eastAsia="Tw Cen MT" w:hAnsi="Tw Cen MT" w:cs="Tw Cen MT"/>
          <w:sz w:val="18"/>
          <w:szCs w:val="18"/>
        </w:rPr>
        <w:t xml:space="preserve"> KH (2016) </w:t>
      </w:r>
      <w:r w:rsidRPr="00E91F6B">
        <w:rPr>
          <w:rFonts w:ascii="Tw Cen MT" w:eastAsia="Tw Cen MT" w:hAnsi="Tw Cen MT" w:cs="Tw Cen MT"/>
          <w:sz w:val="18"/>
          <w:szCs w:val="18"/>
        </w:rPr>
        <w:t>Crystallographic Alignment between C14 and bcc Phases in a Multi-phase Metal Hydride Alloys</w:t>
      </w:r>
      <w:r>
        <w:rPr>
          <w:rFonts w:ascii="Tw Cen MT" w:eastAsia="Tw Cen MT" w:hAnsi="Tw Cen MT" w:cs="Tw Cen MT"/>
          <w:sz w:val="18"/>
          <w:szCs w:val="18"/>
        </w:rPr>
        <w:t xml:space="preserve">. </w:t>
      </w:r>
      <w:r w:rsidRPr="00E91F6B">
        <w:rPr>
          <w:rFonts w:ascii="Tw Cen MT" w:eastAsia="Tw Cen MT" w:hAnsi="Tw Cen MT" w:cs="Tw Cen MT"/>
          <w:sz w:val="18"/>
          <w:szCs w:val="18"/>
        </w:rPr>
        <w:t>Batteries</w:t>
      </w:r>
      <w:r>
        <w:rPr>
          <w:rFonts w:ascii="Tw Cen MT" w:eastAsia="Tw Cen MT" w:hAnsi="Tw Cen MT" w:cs="Tw Cen MT"/>
          <w:sz w:val="18"/>
          <w:szCs w:val="18"/>
        </w:rPr>
        <w:t>,</w:t>
      </w:r>
      <w:r w:rsidRPr="00E91F6B">
        <w:rPr>
          <w:rFonts w:ascii="Tw Cen MT" w:eastAsia="Tw Cen MT" w:hAnsi="Tw Cen MT" w:cs="Tw Cen MT"/>
          <w:sz w:val="18"/>
          <w:szCs w:val="18"/>
        </w:rPr>
        <w:t xml:space="preserve"> 2(3)</w:t>
      </w:r>
      <w:r>
        <w:rPr>
          <w:rFonts w:ascii="Tw Cen MT" w:eastAsia="Tw Cen MT" w:hAnsi="Tw Cen MT" w:cs="Tw Cen MT"/>
          <w:sz w:val="18"/>
          <w:szCs w:val="18"/>
        </w:rPr>
        <w:t>:</w:t>
      </w:r>
      <w:r w:rsidRPr="00E91F6B">
        <w:rPr>
          <w:rFonts w:ascii="Tw Cen MT" w:eastAsia="Tw Cen MT" w:hAnsi="Tw Cen MT" w:cs="Tw Cen MT"/>
          <w:sz w:val="18"/>
          <w:szCs w:val="18"/>
        </w:rPr>
        <w:t>22</w:t>
      </w:r>
    </w:p>
    <w:p w14:paraId="71C32CE3" w14:textId="60567734" w:rsidR="00E91F6B" w:rsidRPr="00E91F6B" w:rsidRDefault="00E91F6B" w:rsidP="00E91F6B">
      <w:pPr>
        <w:pStyle w:val="ListParagraph"/>
        <w:numPr>
          <w:ilvl w:val="0"/>
          <w:numId w:val="3"/>
        </w:numPr>
        <w:tabs>
          <w:tab w:val="left" w:pos="384"/>
        </w:tabs>
        <w:spacing w:line="216" w:lineRule="exact"/>
        <w:ind w:right="137" w:hanging="283"/>
        <w:rPr>
          <w:rFonts w:ascii="Tw Cen MT" w:eastAsia="Tw Cen MT" w:hAnsi="Tw Cen MT" w:cs="Tw Cen MT"/>
          <w:sz w:val="18"/>
          <w:szCs w:val="18"/>
        </w:rPr>
      </w:pPr>
      <w:r w:rsidRPr="00E91F6B">
        <w:rPr>
          <w:rFonts w:ascii="Tw Cen MT" w:eastAsia="Tw Cen MT" w:hAnsi="Tw Cen MT" w:cs="Tw Cen MT"/>
          <w:sz w:val="18"/>
          <w:szCs w:val="18"/>
        </w:rPr>
        <w:t>Young</w:t>
      </w:r>
      <w:r>
        <w:rPr>
          <w:rFonts w:ascii="Tw Cen MT" w:eastAsia="Tw Cen MT" w:hAnsi="Tw Cen MT" w:cs="Tw Cen MT"/>
          <w:sz w:val="18"/>
          <w:szCs w:val="18"/>
        </w:rPr>
        <w:t xml:space="preserve"> KH</w:t>
      </w:r>
      <w:r w:rsidRPr="00E91F6B">
        <w:rPr>
          <w:rFonts w:ascii="Tw Cen MT" w:eastAsia="Tw Cen MT" w:hAnsi="Tw Cen MT" w:cs="Tw Cen MT"/>
          <w:sz w:val="18"/>
          <w:szCs w:val="18"/>
        </w:rPr>
        <w:t>., Ng</w:t>
      </w:r>
      <w:r>
        <w:rPr>
          <w:rFonts w:ascii="Tw Cen MT" w:eastAsia="Tw Cen MT" w:hAnsi="Tw Cen MT" w:cs="Tw Cen MT"/>
          <w:sz w:val="18"/>
          <w:szCs w:val="18"/>
        </w:rPr>
        <w:t xml:space="preserve"> </w:t>
      </w:r>
      <w:r w:rsidRPr="00E91F6B">
        <w:rPr>
          <w:rFonts w:ascii="Tw Cen MT" w:eastAsia="Tw Cen MT" w:hAnsi="Tw Cen MT" w:cs="Tw Cen MT"/>
          <w:sz w:val="18"/>
          <w:szCs w:val="18"/>
        </w:rPr>
        <w:t>K</w:t>
      </w:r>
      <w:r>
        <w:rPr>
          <w:rFonts w:ascii="Tw Cen MT" w:eastAsia="Tw Cen MT" w:hAnsi="Tw Cen MT" w:cs="Tw Cen MT"/>
          <w:sz w:val="18"/>
          <w:szCs w:val="18"/>
        </w:rPr>
        <w:t xml:space="preserve">, </w:t>
      </w:r>
      <w:r w:rsidRPr="00E91F6B">
        <w:rPr>
          <w:rFonts w:ascii="Tw Cen MT" w:eastAsia="Tw Cen MT" w:hAnsi="Tw Cen MT" w:cs="Tw Cen MT"/>
          <w:sz w:val="18"/>
          <w:szCs w:val="18"/>
        </w:rPr>
        <w:t>Bendersky</w:t>
      </w:r>
      <w:r>
        <w:rPr>
          <w:rFonts w:ascii="Tw Cen MT" w:eastAsia="Tw Cen MT" w:hAnsi="Tw Cen MT" w:cs="Tw Cen MT"/>
          <w:sz w:val="18"/>
          <w:szCs w:val="18"/>
        </w:rPr>
        <w:t xml:space="preserve"> LA (2016)</w:t>
      </w:r>
      <w:r w:rsidRPr="00E91F6B">
        <w:rPr>
          <w:rFonts w:ascii="Tw Cen MT" w:eastAsia="Tw Cen MT" w:hAnsi="Tw Cen MT" w:cs="Tw Cen MT"/>
          <w:sz w:val="18"/>
          <w:szCs w:val="18"/>
        </w:rPr>
        <w:t xml:space="preserve"> A Technical Report of the Robust Affordable Next Generation Energy Storage System-BASF Program. Batteries</w:t>
      </w:r>
      <w:r>
        <w:rPr>
          <w:rFonts w:ascii="Tw Cen MT" w:eastAsia="Tw Cen MT" w:hAnsi="Tw Cen MT" w:cs="Tw Cen MT"/>
          <w:sz w:val="18"/>
          <w:szCs w:val="18"/>
        </w:rPr>
        <w:t>,</w:t>
      </w:r>
      <w:r w:rsidRPr="00E91F6B">
        <w:rPr>
          <w:rFonts w:ascii="Tw Cen MT" w:eastAsia="Tw Cen MT" w:hAnsi="Tw Cen MT" w:cs="Tw Cen MT"/>
          <w:sz w:val="18"/>
          <w:szCs w:val="18"/>
        </w:rPr>
        <w:t xml:space="preserve"> 2</w:t>
      </w:r>
      <w:r>
        <w:rPr>
          <w:rFonts w:ascii="Tw Cen MT" w:eastAsia="Tw Cen MT" w:hAnsi="Tw Cen MT" w:cs="Tw Cen MT"/>
          <w:sz w:val="18"/>
          <w:szCs w:val="18"/>
        </w:rPr>
        <w:t>:</w:t>
      </w:r>
      <w:r w:rsidRPr="00E91F6B">
        <w:rPr>
          <w:rFonts w:ascii="Tw Cen MT" w:eastAsia="Tw Cen MT" w:hAnsi="Tw Cen MT" w:cs="Tw Cen MT"/>
          <w:sz w:val="18"/>
          <w:szCs w:val="18"/>
        </w:rPr>
        <w:t>2</w:t>
      </w:r>
      <w:r>
        <w:rPr>
          <w:rFonts w:ascii="Tw Cen MT" w:eastAsia="Tw Cen MT" w:hAnsi="Tw Cen MT" w:cs="Tw Cen MT"/>
          <w:sz w:val="18"/>
          <w:szCs w:val="18"/>
        </w:rPr>
        <w:t xml:space="preserve"> </w:t>
      </w:r>
    </w:p>
    <w:p w14:paraId="62B036DE" w14:textId="6252644A" w:rsidR="00AE3E37" w:rsidRDefault="005973B9" w:rsidP="00E91F6B">
      <w:pPr>
        <w:pStyle w:val="BodyText"/>
        <w:spacing w:before="85" w:line="216" w:lineRule="exact"/>
        <w:ind w:left="383" w:right="138" w:hanging="284"/>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5. </w:t>
      </w:r>
      <w:r w:rsidR="00E91F6B">
        <w:rPr>
          <w:rFonts w:ascii="Calibri" w:hAnsi="Calibri"/>
        </w:rPr>
        <w:t xml:space="preserve">   </w:t>
      </w:r>
      <w:r w:rsidR="00E91F6B" w:rsidRPr="00E91F6B">
        <w:t>Tan</w:t>
      </w:r>
      <w:r w:rsidR="00E91F6B">
        <w:t xml:space="preserve"> H</w:t>
      </w:r>
      <w:r w:rsidR="00E91F6B" w:rsidRPr="00E91F6B">
        <w:t>, Takeuchi</w:t>
      </w:r>
      <w:r w:rsidR="00E91F6B">
        <w:t xml:space="preserve"> S</w:t>
      </w:r>
      <w:r w:rsidR="00E91F6B" w:rsidRPr="00E91F6B">
        <w:t>,</w:t>
      </w:r>
      <w:r w:rsidR="00E91F6B">
        <w:t xml:space="preserve"> </w:t>
      </w:r>
      <w:r w:rsidR="00E91F6B" w:rsidRPr="00E91F6B">
        <w:t>Bharathi</w:t>
      </w:r>
      <w:r w:rsidR="00E91F6B">
        <w:t xml:space="preserve"> KK</w:t>
      </w:r>
      <w:r w:rsidR="00E91F6B" w:rsidRPr="00E91F6B">
        <w:t>,</w:t>
      </w:r>
      <w:r w:rsidR="00E91F6B">
        <w:t xml:space="preserve"> </w:t>
      </w:r>
      <w:r w:rsidR="00E91F6B" w:rsidRPr="00E91F6B">
        <w:t>Takeuchi</w:t>
      </w:r>
      <w:r w:rsidR="00E91F6B">
        <w:t xml:space="preserve"> I</w:t>
      </w:r>
      <w:r w:rsidR="00E91F6B" w:rsidRPr="00E91F6B">
        <w:t>,</w:t>
      </w:r>
      <w:r w:rsidR="00E91F6B">
        <w:t xml:space="preserve"> </w:t>
      </w:r>
      <w:r w:rsidR="00E91F6B" w:rsidRPr="00E91F6B">
        <w:t>Bendersky</w:t>
      </w:r>
      <w:r w:rsidR="00E91F6B">
        <w:t xml:space="preserve"> LA</w:t>
      </w:r>
      <w:r w:rsidR="00E91F6B" w:rsidRPr="00E91F6B">
        <w:t xml:space="preserve"> </w:t>
      </w:r>
      <w:r w:rsidR="00E91F6B">
        <w:t xml:space="preserve">(2016) </w:t>
      </w:r>
      <w:r w:rsidR="00E91F6B" w:rsidRPr="00E91F6B">
        <w:t>Microscopy study of structural evolution in epitaxial LiCoO</w:t>
      </w:r>
      <w:r w:rsidR="00E91F6B" w:rsidRPr="00E91F6B">
        <w:rPr>
          <w:vertAlign w:val="subscript"/>
        </w:rPr>
        <w:t>2</w:t>
      </w:r>
      <w:r w:rsidR="00E91F6B" w:rsidRPr="00E91F6B">
        <w:t xml:space="preserve"> cathode films during electrochemical cycling</w:t>
      </w:r>
      <w:r w:rsidR="00E91F6B">
        <w:t>.</w:t>
      </w:r>
      <w:r w:rsidR="00E91F6B" w:rsidRPr="00E91F6B">
        <w:t xml:space="preserve"> ACS Appl. Mater. Interfaces</w:t>
      </w:r>
      <w:r w:rsidR="00E91F6B">
        <w:t>,</w:t>
      </w:r>
      <w:r w:rsidR="00E91F6B" w:rsidRPr="00E91F6B">
        <w:t xml:space="preserve"> 8</w:t>
      </w:r>
      <w:r w:rsidR="00E91F6B">
        <w:t>:</w:t>
      </w:r>
      <w:r w:rsidR="00E91F6B" w:rsidRPr="00E91F6B">
        <w:t>6727–6735</w:t>
      </w:r>
      <w:r w:rsidR="00E91F6B">
        <w:t xml:space="preserve"> </w:t>
      </w:r>
      <w:r w:rsidR="008756E6" w:rsidRPr="00E91F6B">
        <w:t xml:space="preserve">   </w:t>
      </w:r>
    </w:p>
    <w:p w14:paraId="1D35D5D1" w14:textId="77777777" w:rsidR="00AE3E37" w:rsidRDefault="00AE3E37">
      <w:pPr>
        <w:pStyle w:val="BodyText"/>
        <w:rPr>
          <w:rFonts w:ascii="Calibri"/>
          <w:sz w:val="20"/>
        </w:rPr>
      </w:pPr>
    </w:p>
    <w:p w14:paraId="35586D5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781012B" wp14:editId="4B16855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C68A311" w14:textId="683316EB" w:rsidR="00AE3E37" w:rsidRDefault="008756E6" w:rsidP="00404E5B">
      <w:pPr>
        <w:spacing w:before="92"/>
        <w:ind w:right="4234"/>
        <w:rPr>
          <w:rFonts w:ascii="Arial"/>
        </w:rPr>
      </w:pPr>
      <w:r>
        <w:rPr>
          <w:noProof/>
        </w:rPr>
        <w:t xml:space="preserve">              </w:t>
      </w:r>
      <w:r w:rsidR="006338FF" w:rsidRPr="006338FF">
        <w:rPr>
          <w:noProof/>
          <w:lang w:val="en-IN" w:eastAsia="en-IN"/>
        </w:rPr>
        <w:drawing>
          <wp:inline distT="0" distB="0" distL="0" distR="0" wp14:anchorId="6809F9EA" wp14:editId="52FFEBB8">
            <wp:extent cx="470902" cy="6140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0491" cy="626510"/>
                    </a:xfrm>
                    <a:prstGeom prst="rect">
                      <a:avLst/>
                    </a:prstGeom>
                  </pic:spPr>
                </pic:pic>
              </a:graphicData>
            </a:graphic>
          </wp:inline>
        </w:drawing>
      </w:r>
      <w:r w:rsidR="006338FF">
        <w:rPr>
          <w:noProof/>
        </w:rPr>
        <w:t xml:space="preserve"> </w:t>
      </w:r>
      <w:r w:rsidR="00A9710C">
        <w:rPr>
          <w:rFonts w:ascii="Arial"/>
          <w:color w:val="BF5A14"/>
        </w:rPr>
        <w:t>Biography</w:t>
      </w:r>
      <w:r w:rsidR="006338FF">
        <w:rPr>
          <w:rFonts w:ascii="Arial"/>
          <w:color w:val="BF5A14"/>
        </w:rPr>
        <w:t xml:space="preserve"> </w:t>
      </w:r>
    </w:p>
    <w:p w14:paraId="43EDEDFA" w14:textId="4C74D446" w:rsidR="002F478C" w:rsidRPr="002F478C" w:rsidRDefault="006338FF" w:rsidP="002F478C">
      <w:pPr>
        <w:rPr>
          <w:sz w:val="18"/>
          <w:szCs w:val="18"/>
        </w:rPr>
      </w:pPr>
      <w:r>
        <w:rPr>
          <w:b/>
        </w:rPr>
        <w:t>L</w:t>
      </w:r>
      <w:r w:rsidR="002F478C" w:rsidRPr="002F478C">
        <w:rPr>
          <w:sz w:val="18"/>
          <w:szCs w:val="18"/>
        </w:rPr>
        <w:t>eonid A. Bendersky is a research scientist at Materials Science and Engineering Laboratory of National Institute of Standards and Technology (NIST).  He received his PhD degree in materials science from the</w:t>
      </w:r>
      <w:r>
        <w:rPr>
          <w:sz w:val="18"/>
          <w:szCs w:val="18"/>
        </w:rPr>
        <w:t xml:space="preserve"> </w:t>
      </w:r>
      <w:r w:rsidR="002F478C" w:rsidRPr="002F478C">
        <w:rPr>
          <w:sz w:val="18"/>
          <w:szCs w:val="18"/>
        </w:rPr>
        <w:t>Technion</w:t>
      </w:r>
      <w:r>
        <w:rPr>
          <w:sz w:val="18"/>
          <w:szCs w:val="18"/>
        </w:rPr>
        <w:t>,</w:t>
      </w:r>
      <w:r w:rsidR="002F478C" w:rsidRPr="002F478C">
        <w:rPr>
          <w:sz w:val="18"/>
          <w:szCs w:val="18"/>
        </w:rPr>
        <w:t xml:space="preserve"> Israel</w:t>
      </w:r>
      <w:r>
        <w:rPr>
          <w:sz w:val="18"/>
          <w:szCs w:val="18"/>
        </w:rPr>
        <w:t xml:space="preserve"> in 1982</w:t>
      </w:r>
      <w:r w:rsidR="002F478C" w:rsidRPr="002F478C">
        <w:rPr>
          <w:sz w:val="18"/>
          <w:szCs w:val="18"/>
        </w:rPr>
        <w:t xml:space="preserve">. From 1983 he has been with NIST working on a variety of </w:t>
      </w:r>
      <w:r>
        <w:rPr>
          <w:sz w:val="18"/>
          <w:szCs w:val="18"/>
        </w:rPr>
        <w:t>advanced materials and technologies</w:t>
      </w:r>
      <w:r w:rsidR="002F478C" w:rsidRPr="002F478C">
        <w:rPr>
          <w:sz w:val="18"/>
          <w:szCs w:val="18"/>
        </w:rPr>
        <w:t xml:space="preserve"> including rapid solidification, quasicrystals, structural </w:t>
      </w:r>
      <w:proofErr w:type="spellStart"/>
      <w:r w:rsidR="002F478C" w:rsidRPr="002F478C">
        <w:rPr>
          <w:sz w:val="18"/>
          <w:szCs w:val="18"/>
        </w:rPr>
        <w:t>intermetallics</w:t>
      </w:r>
      <w:proofErr w:type="spellEnd"/>
      <w:r w:rsidR="002F478C" w:rsidRPr="002F478C">
        <w:rPr>
          <w:sz w:val="18"/>
          <w:szCs w:val="18"/>
        </w:rPr>
        <w:t>, functional oxides</w:t>
      </w:r>
      <w:r>
        <w:rPr>
          <w:sz w:val="18"/>
          <w:szCs w:val="18"/>
        </w:rPr>
        <w:t>, hydrogen storage, Li-ion batteries</w:t>
      </w:r>
      <w:r w:rsidR="002F478C" w:rsidRPr="002F478C">
        <w:rPr>
          <w:sz w:val="18"/>
          <w:szCs w:val="18"/>
        </w:rPr>
        <w:t>. His research</w:t>
      </w:r>
      <w:r>
        <w:rPr>
          <w:sz w:val="18"/>
          <w:szCs w:val="18"/>
        </w:rPr>
        <w:t xml:space="preserve"> is </w:t>
      </w:r>
      <w:r w:rsidR="002F478C" w:rsidRPr="002F478C">
        <w:rPr>
          <w:sz w:val="18"/>
          <w:szCs w:val="18"/>
        </w:rPr>
        <w:t>focus</w:t>
      </w:r>
      <w:r>
        <w:rPr>
          <w:sz w:val="18"/>
          <w:szCs w:val="18"/>
        </w:rPr>
        <w:t>ed</w:t>
      </w:r>
      <w:r w:rsidR="002F478C" w:rsidRPr="002F478C">
        <w:rPr>
          <w:sz w:val="18"/>
          <w:szCs w:val="18"/>
        </w:rPr>
        <w:t xml:space="preserve"> on</w:t>
      </w:r>
      <w:r>
        <w:rPr>
          <w:sz w:val="18"/>
          <w:szCs w:val="18"/>
        </w:rPr>
        <w:t xml:space="preserve"> </w:t>
      </w:r>
      <w:r w:rsidRPr="002F478C">
        <w:rPr>
          <w:sz w:val="18"/>
          <w:szCs w:val="18"/>
        </w:rPr>
        <w:t>appl</w:t>
      </w:r>
      <w:r>
        <w:rPr>
          <w:sz w:val="18"/>
          <w:szCs w:val="18"/>
        </w:rPr>
        <w:t>ying</w:t>
      </w:r>
      <w:r w:rsidR="002F478C" w:rsidRPr="002F478C">
        <w:rPr>
          <w:sz w:val="18"/>
          <w:szCs w:val="18"/>
        </w:rPr>
        <w:t xml:space="preserve"> </w:t>
      </w:r>
      <w:proofErr w:type="gramStart"/>
      <w:r>
        <w:rPr>
          <w:sz w:val="18"/>
          <w:szCs w:val="18"/>
        </w:rPr>
        <w:t xml:space="preserve">advanced </w:t>
      </w:r>
      <w:r w:rsidR="002F478C" w:rsidRPr="002F478C">
        <w:rPr>
          <w:sz w:val="18"/>
          <w:szCs w:val="18"/>
        </w:rPr>
        <w:t xml:space="preserve"> transmission</w:t>
      </w:r>
      <w:proofErr w:type="gramEnd"/>
      <w:r w:rsidR="002F478C" w:rsidRPr="002F478C">
        <w:rPr>
          <w:sz w:val="18"/>
          <w:szCs w:val="18"/>
        </w:rPr>
        <w:t xml:space="preserve"> electron microscopy </w:t>
      </w:r>
      <w:r>
        <w:rPr>
          <w:sz w:val="18"/>
          <w:szCs w:val="18"/>
        </w:rPr>
        <w:t>and</w:t>
      </w:r>
      <w:r w:rsidR="002F478C" w:rsidRPr="002F478C">
        <w:rPr>
          <w:sz w:val="18"/>
          <w:szCs w:val="18"/>
        </w:rPr>
        <w:t xml:space="preserve"> crystallography </w:t>
      </w:r>
      <w:r>
        <w:rPr>
          <w:sz w:val="18"/>
          <w:szCs w:val="18"/>
        </w:rPr>
        <w:t>to understand</w:t>
      </w:r>
      <w:r w:rsidR="002F478C" w:rsidRPr="002F478C">
        <w:rPr>
          <w:sz w:val="18"/>
          <w:szCs w:val="18"/>
        </w:rPr>
        <w:t xml:space="preserve"> structural phase transitions</w:t>
      </w:r>
      <w:r>
        <w:rPr>
          <w:sz w:val="18"/>
          <w:szCs w:val="18"/>
        </w:rPr>
        <w:t xml:space="preserve"> and relation between properties and </w:t>
      </w:r>
      <w:proofErr w:type="spellStart"/>
      <w:r>
        <w:rPr>
          <w:sz w:val="18"/>
          <w:szCs w:val="18"/>
        </w:rPr>
        <w:t>strutures</w:t>
      </w:r>
      <w:proofErr w:type="spellEnd"/>
      <w:r w:rsidR="002F478C" w:rsidRPr="002F478C">
        <w:rPr>
          <w:sz w:val="18"/>
          <w:szCs w:val="18"/>
        </w:rPr>
        <w:t>. He is the author of over 200 publications.</w:t>
      </w:r>
    </w:p>
    <w:p w14:paraId="19CF6F35" w14:textId="77777777" w:rsidR="002F478C" w:rsidRDefault="002F478C" w:rsidP="002F478C">
      <w:pPr>
        <w:rPr>
          <w:rFonts w:ascii="Times New Roman" w:hAnsi="Times New Roman"/>
          <w:color w:val="000000"/>
        </w:rPr>
      </w:pPr>
    </w:p>
    <w:p w14:paraId="5E85D678" w14:textId="25C067B9" w:rsidR="00AE3E37" w:rsidRDefault="00A9710C">
      <w:pPr>
        <w:spacing w:before="62"/>
        <w:ind w:left="4217" w:right="4235"/>
        <w:jc w:val="center"/>
        <w:rPr>
          <w:rFonts w:ascii="Arial"/>
          <w:sz w:val="14"/>
        </w:rPr>
      </w:pPr>
      <w:r>
        <w:rPr>
          <w:rFonts w:ascii="Arial"/>
          <w:sz w:val="14"/>
        </w:rPr>
        <w:t xml:space="preserve">Email: </w:t>
      </w:r>
      <w:hyperlink r:id="rId12" w:history="1">
        <w:r w:rsidR="00665DCB" w:rsidRPr="00220FF9">
          <w:rPr>
            <w:rStyle w:val="Hyperlink"/>
            <w:rFonts w:ascii="Arial"/>
            <w:sz w:val="14"/>
          </w:rPr>
          <w:t>leoben@nist.gov</w:t>
        </w:r>
      </w:hyperlink>
    </w:p>
    <w:bookmarkStart w:id="0" w:name="_GoBack"/>
    <w:bookmarkEnd w:id="0"/>
    <w:p w14:paraId="4E0005AE" w14:textId="619DC8CD" w:rsidR="00AE3E37" w:rsidRPr="00B42DEB" w:rsidRDefault="00292ED9" w:rsidP="00B42DEB">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7ADC6CE" wp14:editId="40B0C10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B42DEB"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F4E3B" w14:textId="77777777" w:rsidR="00EA0D65" w:rsidRDefault="00EA0D65">
      <w:r>
        <w:separator/>
      </w:r>
    </w:p>
  </w:endnote>
  <w:endnote w:type="continuationSeparator" w:id="0">
    <w:p w14:paraId="6CEB0187" w14:textId="77777777" w:rsidR="00EA0D65" w:rsidRDefault="00EA0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w:panose1 w:val="02000500000000000000"/>
    <w:charset w:val="00"/>
    <w:family w:val="auto"/>
    <w:pitch w:val="variable"/>
    <w:sig w:usb0="E00002FF" w:usb1="5000205A"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F2AEC" w14:textId="77777777" w:rsidR="00EA0D65" w:rsidRDefault="00EA0D65">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06C3CD5" wp14:editId="536659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4544D" w14:textId="77777777" w:rsidR="00EA0D65" w:rsidRPr="005B3A56" w:rsidRDefault="00EA0D6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82C7E5" w14:textId="77777777" w:rsidR="00EA0D65" w:rsidRPr="005B3A56" w:rsidRDefault="00EA0D6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6C3CD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29E4544D" w14:textId="77777777" w:rsidR="00EA0D65" w:rsidRPr="005B3A56" w:rsidRDefault="00EA0D6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82C7E5" w14:textId="77777777" w:rsidR="00EA0D65" w:rsidRPr="005B3A56" w:rsidRDefault="00EA0D6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880635E" wp14:editId="1070CCC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4E9C4" w14:textId="77777777" w:rsidR="00EA0D65" w:rsidRPr="005B3A56" w:rsidRDefault="00EA0D6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48CC4A" w14:textId="77777777" w:rsidR="00EA0D65" w:rsidRPr="005B3A56" w:rsidRDefault="00EA0D6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0635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13C4E9C4" w14:textId="77777777" w:rsidR="00EA0D65" w:rsidRPr="005B3A56" w:rsidRDefault="00EA0D6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48CC4A" w14:textId="77777777" w:rsidR="00EA0D65" w:rsidRPr="005B3A56" w:rsidRDefault="00EA0D6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26C36D8" wp14:editId="1C80EC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DFA6C" w14:textId="77777777" w:rsidR="00EA0D65" w:rsidRPr="005B3A56" w:rsidRDefault="00EA0D6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7CE9C2" w14:textId="77777777" w:rsidR="00EA0D65" w:rsidRPr="005B3A56" w:rsidRDefault="00EA0D6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C36D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48FDFA6C" w14:textId="77777777" w:rsidR="00EA0D65" w:rsidRPr="005B3A56" w:rsidRDefault="00EA0D6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7CE9C2" w14:textId="77777777" w:rsidR="00EA0D65" w:rsidRPr="005B3A56" w:rsidRDefault="00EA0D6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ADEFF" w14:textId="77777777" w:rsidR="00EA0D65" w:rsidRDefault="00EA0D65">
      <w:r>
        <w:separator/>
      </w:r>
    </w:p>
  </w:footnote>
  <w:footnote w:type="continuationSeparator" w:id="0">
    <w:p w14:paraId="215CEC5B" w14:textId="77777777" w:rsidR="00EA0D65" w:rsidRDefault="00EA0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E9692" w14:textId="77777777" w:rsidR="00EA0D65" w:rsidRDefault="00EA0D65">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16A37F1" wp14:editId="52F0F45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8BF93" w14:textId="77777777" w:rsidR="00EA0D65" w:rsidRPr="005B3A56" w:rsidRDefault="00EA0D6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A37F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1908BF93" w14:textId="77777777" w:rsidR="00EA0D65" w:rsidRPr="005B3A56" w:rsidRDefault="00EA0D6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0DA74A4" wp14:editId="57B972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A1FF9" w14:textId="77777777" w:rsidR="00EA0D65" w:rsidRPr="005B3A56" w:rsidRDefault="00EA0D6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99970E4" w14:textId="77777777" w:rsidR="00EA0D65" w:rsidRPr="005B3A56" w:rsidRDefault="00EA0D6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A74A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40AA1FF9" w14:textId="77777777" w:rsidR="00EA0D65" w:rsidRPr="005B3A56" w:rsidRDefault="00EA0D6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99970E4" w14:textId="77777777" w:rsidR="00EA0D65" w:rsidRPr="005B3A56" w:rsidRDefault="00EA0D6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9532FB7"/>
    <w:multiLevelType w:val="hybridMultilevel"/>
    <w:tmpl w:val="592C8500"/>
    <w:lvl w:ilvl="0" w:tplc="0409000F">
      <w:start w:val="1"/>
      <w:numFmt w:val="decimal"/>
      <w:lvlText w:val="%1."/>
      <w:lvlJc w:val="left"/>
      <w:pPr>
        <w:ind w:left="360" w:hanging="360"/>
      </w:pPr>
    </w:lvl>
    <w:lvl w:ilvl="1" w:tplc="8306144E">
      <w:start w:val="1"/>
      <w:numFmt w:val="upperRoman"/>
      <w:lvlText w:val="%2."/>
      <w:lvlJc w:val="left"/>
      <w:pPr>
        <w:ind w:left="1800" w:hanging="720"/>
      </w:pPr>
      <w:rPr>
        <w:rFonts w:hint="default"/>
      </w:rPr>
    </w:lvl>
    <w:lvl w:ilvl="2" w:tplc="C5F62232">
      <w:start w:val="1"/>
      <w:numFmt w:val="upperLetter"/>
      <w:lvlText w:val="%3."/>
      <w:lvlJc w:val="left"/>
      <w:pPr>
        <w:ind w:left="2340" w:hanging="360"/>
      </w:pPr>
      <w:rPr>
        <w:rFonts w:ascii="Times New Roman" w:hAnsi="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F0B76"/>
    <w:rsid w:val="001263DF"/>
    <w:rsid w:val="001B4C8E"/>
    <w:rsid w:val="001E752F"/>
    <w:rsid w:val="0023086C"/>
    <w:rsid w:val="00292ED9"/>
    <w:rsid w:val="002F478C"/>
    <w:rsid w:val="003F2653"/>
    <w:rsid w:val="00404E5B"/>
    <w:rsid w:val="00414F7B"/>
    <w:rsid w:val="004355DC"/>
    <w:rsid w:val="004749B4"/>
    <w:rsid w:val="00494130"/>
    <w:rsid w:val="004F3523"/>
    <w:rsid w:val="005973B9"/>
    <w:rsid w:val="005B3A56"/>
    <w:rsid w:val="006060CE"/>
    <w:rsid w:val="006338FF"/>
    <w:rsid w:val="0063497F"/>
    <w:rsid w:val="00661AB9"/>
    <w:rsid w:val="00665DCB"/>
    <w:rsid w:val="00770E30"/>
    <w:rsid w:val="007D3A55"/>
    <w:rsid w:val="00873DF0"/>
    <w:rsid w:val="008756E6"/>
    <w:rsid w:val="00983618"/>
    <w:rsid w:val="009B2D44"/>
    <w:rsid w:val="00A00766"/>
    <w:rsid w:val="00A07E82"/>
    <w:rsid w:val="00A9710C"/>
    <w:rsid w:val="00AE3E37"/>
    <w:rsid w:val="00B21A57"/>
    <w:rsid w:val="00B42DEB"/>
    <w:rsid w:val="00C15F55"/>
    <w:rsid w:val="00C33602"/>
    <w:rsid w:val="00CD6F55"/>
    <w:rsid w:val="00D86507"/>
    <w:rsid w:val="00DE3104"/>
    <w:rsid w:val="00E91F6B"/>
    <w:rsid w:val="00E92544"/>
    <w:rsid w:val="00EA0D65"/>
    <w:rsid w:val="00ED3603"/>
    <w:rsid w:val="00F2380B"/>
    <w:rsid w:val="00F2566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6CB288"/>
  <w15:docId w15:val="{CDF0EFDE-6F5D-6C4B-B62A-F5A12AA60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2title">
    <w:name w:val="MDPI_1.2_title"/>
    <w:next w:val="Normal"/>
    <w:qFormat/>
    <w:rsid w:val="000F0B76"/>
    <w:pPr>
      <w:widowControl/>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basedOn w:val="Normal"/>
    <w:next w:val="Normal"/>
    <w:qFormat/>
    <w:rsid w:val="000F0B76"/>
    <w:pPr>
      <w:widowControl/>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basedOn w:val="Normal"/>
    <w:qFormat/>
    <w:rsid w:val="000F0B76"/>
    <w:pPr>
      <w:widowControl/>
      <w:adjustRightInd w:val="0"/>
      <w:snapToGrid w:val="0"/>
      <w:spacing w:line="200" w:lineRule="atLeast"/>
      <w:ind w:left="311" w:hanging="198"/>
    </w:pPr>
    <w:rPr>
      <w:rFonts w:ascii="Palatino Linotype" w:eastAsia="Times New Roman" w:hAnsi="Palatino Linotype" w:cs="Times New Roman"/>
      <w:color w:val="000000"/>
      <w:sz w:val="18"/>
      <w:szCs w:val="18"/>
      <w:lang w:eastAsia="de-DE" w:bidi="en-US"/>
    </w:rPr>
  </w:style>
  <w:style w:type="character" w:styleId="UnresolvedMention">
    <w:name w:val="Unresolved Mention"/>
    <w:basedOn w:val="DefaultParagraphFont"/>
    <w:uiPriority w:val="99"/>
    <w:semiHidden/>
    <w:unhideWhenUsed/>
    <w:rsid w:val="00665DCB"/>
    <w:rPr>
      <w:color w:val="605E5C"/>
      <w:shd w:val="clear" w:color="auto" w:fill="E1DFDD"/>
    </w:rPr>
  </w:style>
  <w:style w:type="paragraph" w:customStyle="1" w:styleId="Default">
    <w:name w:val="Default"/>
    <w:rsid w:val="00661AB9"/>
    <w:pPr>
      <w:widowControl/>
      <w:autoSpaceDE w:val="0"/>
      <w:autoSpaceDN w:val="0"/>
      <w:adjustRightInd w:val="0"/>
    </w:pPr>
    <w:rPr>
      <w:rFonts w:ascii="Times New Roman" w:eastAsia="Times" w:hAnsi="Times New Roman" w:cs="Times New Roman"/>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307197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ei.com/company/fei-company-overview/" TargetMode="External"/><Relationship Id="rId12" Type="http://schemas.openxmlformats.org/officeDocument/2006/relationships/hyperlink" Target="mailto:leoben@nist.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Bendersky</cp:lastModifiedBy>
  <cp:revision>3</cp:revision>
  <dcterms:created xsi:type="dcterms:W3CDTF">2018-06-27T15:43:00Z</dcterms:created>
  <dcterms:modified xsi:type="dcterms:W3CDTF">2018-06-27T15:44:00Z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