
<file path=[Content_Types].xml><?xml version="1.0" encoding="utf-8"?>
<Types xmlns="http://schemas.openxmlformats.org/package/2006/content-types">
  <Default Extension="xml" ContentType="application/xml"/>
  <Default Extension="emf" ContentType="image/x-em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jc w:val="center"/>
        <w:rPr>
          <w:rFonts w:hint="eastAsia"/>
          <w:color w:val="337AB7"/>
        </w:rPr>
      </w:pPr>
      <w:r>
        <w:rPr>
          <w:rFonts w:hint="eastAsia"/>
          <w:color w:val="337AB7"/>
        </w:rPr>
        <w:t>Towards Sensitive Terahertz Detection via Thermoelectric Manipulation in Graphene Transistors</w:t>
      </w:r>
    </w:p>
    <w:p>
      <w:pPr>
        <w:pStyle w:val="5"/>
        <w:spacing w:before="73" w:line="198" w:lineRule="exact"/>
        <w:ind w:left="100" w:right="-88" w:rightChars="-40"/>
        <w:jc w:val="center"/>
        <w:rPr>
          <w:rFonts w:hint="eastAsia" w:ascii="Arial"/>
        </w:rPr>
      </w:pPr>
    </w:p>
    <w:p>
      <w:pPr>
        <w:pStyle w:val="5"/>
        <w:spacing w:before="73" w:line="198" w:lineRule="exact"/>
        <w:ind w:left="100" w:right="-88" w:rightChars="-40"/>
        <w:jc w:val="center"/>
        <w:rPr>
          <w:rFonts w:hint="eastAsia" w:ascii="Arial"/>
        </w:rPr>
      </w:pPr>
      <w:r>
        <w:rPr>
          <w:rFonts w:hint="eastAsia" w:ascii="Arial"/>
        </w:rPr>
        <w:t xml:space="preserve">Gang </w:t>
      </w:r>
      <w:r>
        <w:rPr>
          <w:rFonts w:hint="eastAsia" w:ascii="Arial" w:eastAsia="宋体"/>
          <w:lang w:val="en-US" w:eastAsia="zh-CN"/>
        </w:rPr>
        <w:t>C</w:t>
      </w:r>
      <w:r>
        <w:rPr>
          <w:rFonts w:hint="eastAsia" w:ascii="Arial"/>
        </w:rPr>
        <w:t>hen</w:t>
      </w:r>
    </w:p>
    <w:p>
      <w:pPr>
        <w:pStyle w:val="5"/>
        <w:spacing w:before="3"/>
        <w:jc w:val="center"/>
        <w:rPr>
          <w:rFonts w:ascii="Arial"/>
          <w:sz w:val="21"/>
        </w:rPr>
      </w:pPr>
      <w:r>
        <w:rPr>
          <w:rFonts w:hint="eastAsia" w:ascii="Arial"/>
        </w:rPr>
        <w:t>Chinese Acad</w:t>
      </w:r>
      <w:r>
        <w:rPr>
          <w:rFonts w:hint="eastAsia" w:ascii="Arial" w:eastAsia="宋体"/>
          <w:lang w:val="en-US" w:eastAsia="zh-CN"/>
        </w:rPr>
        <w:t>emy of</w:t>
      </w:r>
      <w:r>
        <w:rPr>
          <w:rFonts w:hint="eastAsia" w:ascii="Arial"/>
        </w:rPr>
        <w:t xml:space="preserve"> Sci</w:t>
      </w:r>
      <w:r>
        <w:rPr>
          <w:rFonts w:hint="eastAsia" w:ascii="Arial" w:eastAsia="宋体"/>
          <w:lang w:val="en-US" w:eastAsia="zh-CN"/>
        </w:rPr>
        <w:t>ences</w:t>
      </w:r>
      <w:r>
        <w:rPr>
          <w:rFonts w:hint="eastAsia" w:ascii="Arial"/>
        </w:rPr>
        <w:t>, Shanghai Inst</w:t>
      </w:r>
      <w:r>
        <w:rPr>
          <w:rFonts w:hint="eastAsia" w:ascii="Arial" w:eastAsia="宋体"/>
          <w:lang w:val="en-US" w:eastAsia="zh-CN"/>
        </w:rPr>
        <w:t xml:space="preserve">itute of </w:t>
      </w:r>
      <w:r>
        <w:rPr>
          <w:rFonts w:hint="eastAsia" w:ascii="Arial"/>
        </w:rPr>
        <w:t>Tech</w:t>
      </w:r>
      <w:r>
        <w:rPr>
          <w:rFonts w:hint="eastAsia" w:ascii="Arial" w:eastAsia="宋体"/>
          <w:lang w:val="en-US" w:eastAsia="zh-CN"/>
        </w:rPr>
        <w:t xml:space="preserve">nical </w:t>
      </w:r>
      <w:r>
        <w:rPr>
          <w:rFonts w:hint="eastAsia" w:ascii="Arial"/>
        </w:rPr>
        <w:t xml:space="preserve"> Phys</w:t>
      </w:r>
      <w:r>
        <w:rPr>
          <w:rFonts w:hint="eastAsia" w:ascii="Arial" w:eastAsia="宋体"/>
          <w:lang w:val="en-US" w:eastAsia="zh-CN"/>
        </w:rPr>
        <w:t>ics</w:t>
      </w:r>
      <w:r>
        <w:rPr>
          <w:rFonts w:hint="eastAsia" w:ascii="Arial"/>
        </w:rPr>
        <w:t xml:space="preserve">, State Key Lab </w:t>
      </w:r>
      <w:r>
        <w:rPr>
          <w:rFonts w:hint="eastAsia" w:ascii="Arial" w:eastAsia="宋体"/>
          <w:lang w:val="en-US" w:eastAsia="zh-CN"/>
        </w:rPr>
        <w:t xml:space="preserve">for </w:t>
      </w:r>
      <w:r>
        <w:rPr>
          <w:rFonts w:hint="eastAsia" w:ascii="Arial"/>
        </w:rPr>
        <w:t>Infrared Phys</w:t>
      </w:r>
      <w:r>
        <w:rPr>
          <w:rFonts w:hint="eastAsia" w:ascii="Arial" w:eastAsia="宋体"/>
          <w:lang w:val="en-US" w:eastAsia="zh-CN"/>
        </w:rPr>
        <w:t>ics</w:t>
      </w:r>
      <w:r>
        <w:rPr>
          <w:rFonts w:hint="eastAsia" w:ascii="Arial"/>
        </w:rPr>
        <w:t xml:space="preserve">, </w:t>
      </w:r>
      <w:r>
        <w:rPr>
          <w:rFonts w:hint="eastAsia" w:ascii="Arial" w:eastAsia="宋体"/>
          <w:lang w:val="en-US" w:eastAsia="zh-CN"/>
        </w:rPr>
        <w:t xml:space="preserve">500 Yutian Rd. </w:t>
      </w:r>
      <w:r>
        <w:rPr>
          <w:rFonts w:hint="eastAsia" w:ascii="Arial"/>
        </w:rPr>
        <w:t>Shanghai 200083, China</w:t>
      </w:r>
    </w:p>
    <w:p>
      <w:pPr>
        <w:pStyle w:val="4"/>
        <w:spacing w:before="147"/>
        <w:jc w:val="both"/>
      </w:pPr>
      <w:bookmarkStart w:id="0" w:name="_GoBack"/>
      <w:bookmarkEnd w:id="0"/>
      <w:r>
        <w:rPr>
          <w:color w:val="BF5A14"/>
        </w:rPr>
        <w:t>Abstract (300 word limit)</w:t>
      </w:r>
    </w:p>
    <w:p>
      <w:pPr>
        <w:pStyle w:val="5"/>
        <w:spacing w:before="90" w:line="280" w:lineRule="auto"/>
        <w:ind w:left="100"/>
        <w:jc w:val="both"/>
      </w:pPr>
      <w:r>
        <w:rPr>
          <w:rFonts w:hint="eastAsia"/>
        </w:rPr>
        <w:t>vGraphene has been highly sought-after as a potential candidate for hot electron terahertz (THz) detection benefiting from its strong photon absorption, fast carrier relaxation and weak electron-phonon coupling. Nevertheless so far graphene based thermoelectric THz photodetection is still hindered by the low responsivity owing to the relatively low photo-electric effeciency. In this work, we provide a straightforward strategy for the enhanced THz detection based on an antenna-coupled CVD graphene transistors with the introduction of symmetric paired fingers. This design enables switchable photodetection modes by controlling of the interaction between the THz field and free hot carriers in graphene channel through different contacting configurations. Hence a novel "Bias field effect" can be activated which leads to a drastic enhancement in THz detection ability with responsivity up to 280V/W and Johnson-noise limited minimum noise-equivalent power (NEP) of 100 pW/Hz</w:t>
      </w:r>
      <w:r>
        <w:rPr>
          <w:rFonts w:hint="eastAsia"/>
          <w:vertAlign w:val="superscript"/>
        </w:rPr>
        <w:t>0.5</w:t>
      </w:r>
      <w:r>
        <w:rPr>
          <w:rFonts w:hint="eastAsia"/>
        </w:rPr>
        <w:t xml:space="preserve"> at room temperature. The mechanism of the enhancement of the photoelectric gain is attributed to the thermophotovoltaic instead of the plasma self-mixing effects, Our results offer a promising alternative route to scalable, wafer-level production of high performance graphene detectors.</w:t>
      </w:r>
    </w:p>
    <w:p>
      <w:pPr>
        <w:pStyle w:val="4"/>
        <w:spacing w:before="74"/>
        <w:ind w:left="0"/>
        <w:rPr>
          <w:color w:val="BF5A14"/>
        </w:rPr>
      </w:pPr>
      <w:r>
        <w:rPr>
          <w:color w:val="BF5A14"/>
        </w:rPr>
        <w:t>Image</w:t>
      </w:r>
    </w:p>
    <w:p>
      <w:pPr>
        <w:pStyle w:val="4"/>
        <w:spacing w:before="74"/>
        <w:ind w:left="0"/>
        <w:jc w:val="center"/>
        <w:rPr>
          <w:color w:val="BF5A14"/>
        </w:rPr>
      </w:pPr>
      <w:r>
        <w:drawing>
          <wp:inline distT="0" distB="0" distL="0" distR="0">
            <wp:extent cx="5205095" cy="1796415"/>
            <wp:effectExtent l="0" t="0" r="14605" b="133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6"/>
                    <a:srcRect l="1356"/>
                    <a:stretch>
                      <a:fillRect/>
                    </a:stretch>
                  </pic:blipFill>
                  <pic:spPr>
                    <a:xfrm>
                      <a:off x="0" y="0"/>
                      <a:ext cx="5205564" cy="1796994"/>
                    </a:xfrm>
                    <a:prstGeom prst="rect">
                      <a:avLst/>
                    </a:prstGeom>
                    <a:noFill/>
                    <a:ln w="9525">
                      <a:noFill/>
                      <a:miter lim="800000"/>
                      <a:headEnd/>
                      <a:tailEnd/>
                    </a:ln>
                  </pic:spPr>
                </pic:pic>
              </a:graphicData>
            </a:graphic>
          </wp:inline>
        </w:drawing>
      </w:r>
    </w:p>
    <w:p>
      <w:pPr>
        <w:pStyle w:val="5"/>
        <w:spacing w:before="2"/>
        <w:jc w:val="center"/>
        <w:rPr>
          <w:rFonts w:ascii="Arial"/>
          <w:b/>
          <w:sz w:val="16"/>
        </w:rPr>
      </w:pPr>
    </w:p>
    <w:p>
      <w:pPr>
        <w:spacing w:line="204" w:lineRule="exact"/>
        <w:rPr>
          <w:rFonts w:ascii="Arial"/>
          <w:b/>
          <w:color w:val="BF5A14"/>
          <w:sz w:val="20"/>
        </w:rPr>
      </w:pPr>
    </w:p>
    <w:p>
      <w:pPr>
        <w:spacing w:line="204" w:lineRule="exact"/>
        <w:rPr>
          <w:rFonts w:ascii="Arial"/>
          <w:b/>
          <w:sz w:val="20"/>
        </w:rPr>
      </w:pPr>
      <w:r>
        <w:rPr>
          <w:rFonts w:ascii="Arial"/>
          <w:b/>
          <w:color w:val="BF5A14"/>
          <w:sz w:val="20"/>
        </w:rPr>
        <w:t>Recent Publications (minimum 5)</w:t>
      </w:r>
    </w:p>
    <w:p>
      <w:pPr>
        <w:pStyle w:val="12"/>
        <w:numPr>
          <w:ilvl w:val="0"/>
          <w:numId w:val="1"/>
        </w:numPr>
        <w:tabs>
          <w:tab w:val="left" w:pos="384"/>
        </w:tabs>
        <w:spacing w:before="103" w:line="216" w:lineRule="exact"/>
        <w:ind w:right="138" w:hanging="283"/>
        <w:rPr>
          <w:rFonts w:hint="eastAsia"/>
          <w:sz w:val="18"/>
        </w:rPr>
      </w:pPr>
      <w:r>
        <w:rPr>
          <w:rFonts w:hint="eastAsia" w:eastAsia="宋体"/>
          <w:sz w:val="18"/>
          <w:lang w:val="en-US" w:eastAsia="zh-CN"/>
        </w:rPr>
        <w:t>Liu  D, et al. (</w:t>
      </w:r>
      <w:r>
        <w:rPr>
          <w:rFonts w:hint="eastAsia"/>
          <w:sz w:val="18"/>
        </w:rPr>
        <w:t>2018</w:t>
      </w:r>
      <w:r>
        <w:rPr>
          <w:rFonts w:hint="eastAsia" w:eastAsia="宋体"/>
          <w:sz w:val="18"/>
          <w:lang w:val="en-US" w:eastAsia="zh-CN"/>
        </w:rPr>
        <w:t xml:space="preserve">) </w:t>
      </w:r>
      <w:r>
        <w:rPr>
          <w:rFonts w:hint="eastAsia"/>
          <w:sz w:val="18"/>
        </w:rPr>
        <w:t>Efficient Raman Enhancement on High-Quality Ultra-Clean Graphene Quantum Dots Produced by a Quasi-Equilibrium Plasma-Enhanced Chemical Vapor Deposition</w:t>
      </w:r>
      <w:r>
        <w:rPr>
          <w:rFonts w:hint="eastAsia" w:eastAsia="宋体"/>
          <w:sz w:val="18"/>
          <w:lang w:val="en-US" w:eastAsia="zh-CN"/>
        </w:rPr>
        <w:t xml:space="preserve">. </w:t>
      </w:r>
      <w:r>
        <w:rPr>
          <w:rFonts w:hint="eastAsia"/>
          <w:sz w:val="18"/>
        </w:rPr>
        <w:t xml:space="preserve">Nature Communications </w:t>
      </w:r>
      <w:r>
        <w:rPr>
          <w:rFonts w:hint="eastAsia" w:eastAsia="宋体"/>
          <w:sz w:val="18"/>
          <w:lang w:val="en-US" w:eastAsia="zh-CN"/>
        </w:rPr>
        <w:t>9:193</w:t>
      </w:r>
    </w:p>
    <w:p>
      <w:pPr>
        <w:pStyle w:val="12"/>
        <w:numPr>
          <w:ilvl w:val="0"/>
          <w:numId w:val="1"/>
        </w:numPr>
        <w:tabs>
          <w:tab w:val="left" w:pos="384"/>
        </w:tabs>
        <w:spacing w:before="103" w:line="216" w:lineRule="exact"/>
        <w:ind w:right="138" w:hanging="283"/>
        <w:rPr>
          <w:rFonts w:hint="eastAsia"/>
          <w:sz w:val="18"/>
        </w:rPr>
      </w:pPr>
      <w:r>
        <w:rPr>
          <w:rFonts w:hint="eastAsia" w:eastAsia="宋体"/>
          <w:sz w:val="18"/>
          <w:lang w:val="en-US" w:eastAsia="zh-CN"/>
        </w:rPr>
        <w:t xml:space="preserve">Liu C, et al. (2018) </w:t>
      </w:r>
      <w:r>
        <w:rPr>
          <w:rFonts w:hint="eastAsia"/>
          <w:sz w:val="18"/>
        </w:rPr>
        <w:t xml:space="preserve"> Towards Sensitive Terahertz Detection via Thermoelectric Manipulation in Graphene Transistors</w:t>
      </w:r>
      <w:r>
        <w:rPr>
          <w:rFonts w:hint="eastAsia" w:eastAsia="宋体"/>
          <w:sz w:val="18"/>
          <w:lang w:val="en-US" w:eastAsia="zh-CN"/>
        </w:rPr>
        <w:t xml:space="preserve">. </w:t>
      </w:r>
      <w:r>
        <w:rPr>
          <w:rFonts w:hint="eastAsia"/>
          <w:sz w:val="18"/>
        </w:rPr>
        <w:t>NPG Asia Materials</w:t>
      </w:r>
      <w:r>
        <w:rPr>
          <w:rFonts w:hint="eastAsia" w:eastAsia="宋体"/>
          <w:sz w:val="18"/>
          <w:lang w:val="en-US" w:eastAsia="zh-CN"/>
        </w:rPr>
        <w:t xml:space="preserve"> DOI:10.1038/s41427-018-0032-7</w:t>
      </w:r>
    </w:p>
    <w:p>
      <w:pPr>
        <w:pStyle w:val="12"/>
        <w:numPr>
          <w:ilvl w:val="0"/>
          <w:numId w:val="1"/>
        </w:numPr>
        <w:tabs>
          <w:tab w:val="left" w:pos="384"/>
        </w:tabs>
        <w:spacing w:before="103" w:line="216" w:lineRule="exact"/>
        <w:ind w:right="138" w:hanging="283"/>
        <w:rPr>
          <w:rFonts w:hint="eastAsia"/>
          <w:sz w:val="18"/>
        </w:rPr>
      </w:pPr>
      <w:r>
        <w:rPr>
          <w:rFonts w:hint="eastAsia" w:eastAsia="宋体"/>
          <w:sz w:val="18"/>
          <w:lang w:val="en-US" w:eastAsia="zh-CN"/>
        </w:rPr>
        <w:t xml:space="preserve">Du L, et al. (2018) </w:t>
      </w:r>
      <w:r>
        <w:rPr>
          <w:rFonts w:hint="eastAsia"/>
          <w:sz w:val="18"/>
        </w:rPr>
        <w:t>Thickness-controlled direct growth of nanographene and nanographite film on non-catalytic substrates</w:t>
      </w:r>
      <w:r>
        <w:rPr>
          <w:rFonts w:hint="eastAsia" w:eastAsia="宋体"/>
          <w:sz w:val="18"/>
          <w:lang w:val="en-US" w:eastAsia="zh-CN"/>
        </w:rPr>
        <w:t xml:space="preserve">. </w:t>
      </w:r>
      <w:r>
        <w:rPr>
          <w:rFonts w:hint="eastAsia"/>
          <w:sz w:val="18"/>
        </w:rPr>
        <w:t>Nanotechnology</w:t>
      </w:r>
      <w:r>
        <w:rPr>
          <w:rFonts w:hint="eastAsia" w:eastAsia="宋体"/>
          <w:sz w:val="18"/>
          <w:lang w:val="en-US" w:eastAsia="zh-CN"/>
        </w:rPr>
        <w:t xml:space="preserve"> </w:t>
      </w:r>
      <w:r>
        <w:rPr>
          <w:rFonts w:hint="eastAsia"/>
          <w:sz w:val="18"/>
        </w:rPr>
        <w:t>29</w:t>
      </w:r>
      <w:r>
        <w:rPr>
          <w:rFonts w:hint="eastAsia" w:eastAsia="宋体"/>
          <w:sz w:val="18"/>
          <w:lang w:val="en-US" w:eastAsia="zh-CN"/>
        </w:rPr>
        <w:t>:</w:t>
      </w:r>
      <w:r>
        <w:rPr>
          <w:rFonts w:hint="eastAsia"/>
          <w:sz w:val="18"/>
        </w:rPr>
        <w:t>215711</w:t>
      </w:r>
    </w:p>
    <w:p>
      <w:pPr>
        <w:pStyle w:val="12"/>
        <w:numPr>
          <w:ilvl w:val="0"/>
          <w:numId w:val="1"/>
        </w:numPr>
        <w:tabs>
          <w:tab w:val="left" w:pos="384"/>
        </w:tabs>
        <w:spacing w:before="103" w:line="216" w:lineRule="exact"/>
        <w:ind w:right="138" w:hanging="283"/>
        <w:rPr>
          <w:rFonts w:hint="eastAsia"/>
          <w:sz w:val="18"/>
        </w:rPr>
      </w:pPr>
      <w:r>
        <w:rPr>
          <w:rFonts w:hint="eastAsia" w:eastAsia="宋体"/>
          <w:sz w:val="18"/>
          <w:lang w:val="en-US" w:eastAsia="zh-CN"/>
        </w:rPr>
        <w:t>Sun F, et al. (2018) O</w:t>
      </w:r>
      <w:r>
        <w:rPr>
          <w:rFonts w:hint="eastAsia"/>
          <w:sz w:val="18"/>
        </w:rPr>
        <w:t>ptical waveguide of buckled CdS nanowires modulated by strain engineering</w:t>
      </w:r>
      <w:r>
        <w:rPr>
          <w:rFonts w:hint="eastAsia" w:eastAsia="宋体"/>
          <w:sz w:val="18"/>
          <w:lang w:val="en-US" w:eastAsia="zh-CN"/>
        </w:rPr>
        <w:t xml:space="preserve">. </w:t>
      </w:r>
      <w:r>
        <w:rPr>
          <w:rFonts w:hint="eastAsia"/>
          <w:sz w:val="18"/>
        </w:rPr>
        <w:t xml:space="preserve">ACS Photonics </w:t>
      </w:r>
      <w:r>
        <w:rPr>
          <w:rFonts w:hint="eastAsia" w:eastAsia="宋体"/>
          <w:sz w:val="18"/>
          <w:lang w:val="en-US" w:eastAsia="zh-CN"/>
        </w:rPr>
        <w:t>5:746-751</w:t>
      </w:r>
    </w:p>
    <w:p>
      <w:pPr>
        <w:pStyle w:val="12"/>
        <w:numPr>
          <w:ilvl w:val="0"/>
          <w:numId w:val="1"/>
        </w:numPr>
        <w:tabs>
          <w:tab w:val="left" w:pos="384"/>
        </w:tabs>
        <w:spacing w:before="103" w:line="216" w:lineRule="exact"/>
        <w:ind w:right="138" w:hanging="283"/>
        <w:rPr>
          <w:rFonts w:hint="eastAsia"/>
          <w:sz w:val="18"/>
        </w:rPr>
      </w:pPr>
      <w:r>
        <w:rPr>
          <w:rFonts w:hint="eastAsia" w:eastAsia="宋体"/>
          <w:sz w:val="18"/>
          <w:lang w:val="en-US" w:eastAsia="zh-CN"/>
        </w:rPr>
        <w:t xml:space="preserve">Du L, et al. (2017) </w:t>
      </w:r>
      <w:r>
        <w:rPr>
          <w:rFonts w:hint="eastAsia"/>
          <w:sz w:val="18"/>
        </w:rPr>
        <w:t>Formation of Self-Connected Si0.8Ge0.2Lateral Nanowires and Pyramids on Rib-Patterned Si(1 1 10) Substrate</w:t>
      </w:r>
      <w:r>
        <w:rPr>
          <w:rFonts w:hint="eastAsia" w:eastAsia="宋体"/>
          <w:sz w:val="18"/>
          <w:lang w:val="en-US" w:eastAsia="zh-CN"/>
        </w:rPr>
        <w:t>.</w:t>
      </w:r>
      <w:r>
        <w:rPr>
          <w:rFonts w:hint="eastAsia"/>
          <w:sz w:val="18"/>
        </w:rPr>
        <w:tab/>
      </w:r>
      <w:r>
        <w:rPr>
          <w:rFonts w:hint="eastAsia"/>
          <w:sz w:val="18"/>
        </w:rPr>
        <w:t>Nanoscale Research Lett.</w:t>
      </w:r>
      <w:r>
        <w:rPr>
          <w:rFonts w:hint="eastAsia" w:eastAsia="宋体"/>
          <w:sz w:val="18"/>
          <w:lang w:val="en-US" w:eastAsia="zh-CN"/>
        </w:rPr>
        <w:t xml:space="preserve"> 12:70</w:t>
      </w:r>
    </w:p>
    <w:p>
      <w:pPr>
        <w:pStyle w:val="12"/>
        <w:numPr>
          <w:ilvl w:val="0"/>
          <w:numId w:val="1"/>
        </w:numPr>
        <w:tabs>
          <w:tab w:val="left" w:pos="384"/>
        </w:tabs>
        <w:spacing w:before="103" w:line="216" w:lineRule="exact"/>
        <w:ind w:right="138" w:hanging="283"/>
        <w:rPr>
          <w:rFonts w:hint="eastAsia"/>
          <w:sz w:val="18"/>
        </w:rPr>
      </w:pPr>
      <w:r>
        <w:rPr>
          <w:rFonts w:hint="eastAsia" w:eastAsia="宋体"/>
          <w:sz w:val="18"/>
          <w:lang w:val="en-US" w:eastAsia="zh-CN"/>
        </w:rPr>
        <w:t xml:space="preserve">Meng K, et al. (2016) </w:t>
      </w:r>
      <w:r>
        <w:rPr>
          <w:rFonts w:hint="eastAsia"/>
          <w:sz w:val="18"/>
        </w:rPr>
        <w:t>Two-Dimensional Organic-Inorganic Hybrid Perovskite Photonic Films</w:t>
      </w:r>
      <w:r>
        <w:rPr>
          <w:rFonts w:hint="eastAsia" w:eastAsia="宋体"/>
          <w:sz w:val="18"/>
          <w:lang w:val="en-US" w:eastAsia="zh-CN"/>
        </w:rPr>
        <w:t xml:space="preserve">. </w:t>
      </w:r>
      <w:r>
        <w:rPr>
          <w:rFonts w:hint="eastAsia"/>
          <w:sz w:val="18"/>
        </w:rPr>
        <w:t>Nano Letters</w:t>
      </w:r>
      <w:r>
        <w:rPr>
          <w:rFonts w:hint="eastAsia" w:eastAsia="宋体"/>
          <w:sz w:val="18"/>
          <w:lang w:val="en-US" w:eastAsia="zh-CN"/>
        </w:rPr>
        <w:t xml:space="preserve"> 16:4166</w:t>
      </w:r>
    </w:p>
    <w:p>
      <w:pPr>
        <w:spacing w:line="200" w:lineRule="exact"/>
        <w:jc w:val="both"/>
        <w:rPr>
          <w:rFonts w:ascii="Calibri" w:hAnsi="Calibri"/>
        </w:rPr>
        <w:sectPr>
          <w:headerReference r:id="rId3" w:type="default"/>
          <w:footerReference r:id="rId4" w:type="default"/>
          <w:type w:val="continuous"/>
          <w:pgSz w:w="11910" w:h="16840"/>
          <w:pgMar w:top="1740" w:right="600" w:bottom="840" w:left="620" w:header="720" w:footer="720" w:gutter="0"/>
          <w:cols w:space="720" w:num="1"/>
        </w:sectPr>
      </w:pPr>
      <w:r>
        <w:rPr>
          <w:rFonts w:ascii="Calibri" w:hAnsi="Calibri"/>
        </w:rPr>
        <w:t xml:space="preserve">   </w:t>
      </w:r>
    </w:p>
    <w:p>
      <w:pPr>
        <w:pStyle w:val="5"/>
        <w:rPr>
          <w:rFonts w:ascii="Calibri"/>
          <w:sz w:val="20"/>
        </w:rPr>
      </w:pPr>
    </w:p>
    <w:p>
      <w:pPr>
        <w:pStyle w:val="5"/>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t xml:space="preserve">              </w:t>
      </w:r>
      <w:r>
        <w:rPr>
          <w:rFonts w:ascii="Arial"/>
          <w:color w:val="BF5A14"/>
        </w:rPr>
        <w:drawing>
          <wp:inline distT="0" distB="0" distL="114300" distR="114300">
            <wp:extent cx="608330" cy="800735"/>
            <wp:effectExtent l="0" t="0" r="1270" b="18415"/>
            <wp:docPr id="3" name="图片 3" descr="陈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陈刚"/>
                    <pic:cNvPicPr>
                      <a:picLocks noChangeAspect="1"/>
                    </pic:cNvPicPr>
                  </pic:nvPicPr>
                  <pic:blipFill>
                    <a:blip r:embed="rId7"/>
                    <a:stretch>
                      <a:fillRect/>
                    </a:stretch>
                  </pic:blipFill>
                  <pic:spPr>
                    <a:xfrm>
                      <a:off x="0" y="0"/>
                      <a:ext cx="608330" cy="800735"/>
                    </a:xfrm>
                    <a:prstGeom prst="rect">
                      <a:avLst/>
                    </a:prstGeom>
                  </pic:spPr>
                </pic:pic>
              </a:graphicData>
            </a:graphic>
          </wp:inline>
        </w:drawing>
      </w:r>
      <w:r>
        <w:rPr>
          <w:rFonts w:hint="eastAsia" w:ascii="Arial" w:eastAsia="宋体"/>
          <w:color w:val="BF5A14"/>
          <w:lang w:val="en-US" w:eastAsia="zh-CN"/>
        </w:rPr>
        <w:t xml:space="preserve"> </w:t>
      </w:r>
      <w:r>
        <w:rPr>
          <w:rFonts w:ascii="Arial"/>
          <w:color w:val="BF5A14"/>
        </w:rPr>
        <w:t>Biography (150 word limit)</w:t>
      </w:r>
    </w:p>
    <w:p>
      <w:pPr>
        <w:spacing w:before="41" w:line="154" w:lineRule="exact"/>
        <w:ind w:left="213" w:right="231"/>
        <w:jc w:val="both"/>
        <w:rPr>
          <w:rFonts w:ascii="Arial"/>
          <w:sz w:val="14"/>
          <w:lang w:val="en-US"/>
        </w:rPr>
      </w:pPr>
      <w:r>
        <w:rPr>
          <w:rFonts w:hint="eastAsia" w:ascii="Arial" w:eastAsia="宋体"/>
          <w:sz w:val="14"/>
          <w:lang w:val="en-US" w:eastAsia="zh-CN"/>
        </w:rPr>
        <w:t>Gang Chen</w:t>
      </w:r>
      <w:r>
        <w:rPr>
          <w:rFonts w:ascii="Arial"/>
          <w:sz w:val="14"/>
        </w:rPr>
        <w:t xml:space="preserve"> has h</w:t>
      </w:r>
      <w:r>
        <w:rPr>
          <w:rFonts w:hint="eastAsia" w:ascii="Arial" w:eastAsia="宋体"/>
          <w:sz w:val="14"/>
          <w:lang w:val="en-US" w:eastAsia="zh-CN"/>
        </w:rPr>
        <w:t>is</w:t>
      </w:r>
      <w:r>
        <w:rPr>
          <w:rFonts w:ascii="Arial"/>
          <w:sz w:val="14"/>
        </w:rPr>
        <w:t xml:space="preserve"> expertise in </w:t>
      </w:r>
      <w:r>
        <w:rPr>
          <w:rFonts w:hint="eastAsia" w:ascii="Arial" w:eastAsia="宋体"/>
          <w:sz w:val="14"/>
          <w:lang w:val="en-US" w:eastAsia="zh-CN"/>
        </w:rPr>
        <w:t xml:space="preserve">growth of semiconductor materials and the fabrication of optoelectronic  devices. He received his PhD on condensed matter physics from Fudan University, Shanghai, China  in 2002. Then he had been working at the Institute of Solid State Physics in Johannes Kepler University, Linz, Austria for ten years on the MBE growth of SiGe based nanostructures and their application in the optoelectronics. Now he is a professor in Chinese Academy of Sciences, Shanghai Institute of Technical  Physics. He has published more than 60 research papers in peer-reviewed journals. His main research interest are on the field of the fabrication low dimensional Carbon allotrope and their application on ultra broad photodetection. </w:t>
      </w:r>
    </w:p>
    <w:p>
      <w:pPr>
        <w:spacing w:before="62"/>
        <w:ind w:left="4217" w:right="4235"/>
        <w:jc w:val="center"/>
        <w:rPr>
          <w:rFonts w:ascii="Arial"/>
          <w:sz w:val="19"/>
        </w:rPr>
      </w:pPr>
      <w:r>
        <w:rPr>
          <w:rFonts w:ascii="Arial"/>
          <w:sz w:val="14"/>
        </w:rPr>
        <w:t>Email:</w:t>
      </w:r>
      <w:r>
        <w:rPr>
          <w:rFonts w:hint="eastAsia" w:ascii="Arial" w:eastAsia="宋体"/>
          <w:sz w:val="14"/>
          <w:lang w:val="en-US" w:eastAsia="zh-CN"/>
        </w:rPr>
        <w:t>gchen@mail.sitp.ac.cn</w:t>
      </w:r>
      <w:r>
        <w:rPr>
          <w:lang w:val="en-IN" w:eastAsia="en-IN"/>
        </w:rP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sectPr>
      <w:type w:val="continuous"/>
      <w:pgSz w:w="11910" w:h="16840"/>
      <w:pgMar w:top="1740" w:right="580" w:bottom="840" w:left="6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Calibri">
    <w:panose1 w:val="020F0502020204030204"/>
    <w:charset w:val="86"/>
    <w:family w:val="swiss"/>
    <w:pitch w:val="default"/>
    <w:sig w:usb0="E00002FF" w:usb1="4000ACFF" w:usb2="00000001" w:usb3="00000000" w:csb0="2000019F" w:csb1="0000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mbria Math">
    <w:panose1 w:val="02040503050406030204"/>
    <w:charset w:val="00"/>
    <w:family w:val="auto"/>
    <w:pitch w:val="default"/>
    <w:sig w:usb0="E00002FF" w:usb1="420024FF" w:usb2="00000000" w:usb3="00000000" w:csb0="2000019F" w:csb1="00000000"/>
  </w:font>
  <w:font w:name="Corbel">
    <w:panose1 w:val="020B0503020204020204"/>
    <w:charset w:val="00"/>
    <w:family w:val="auto"/>
    <w:pitch w:val="default"/>
    <w:sig w:usb0="A00002EF" w:usb1="4000A4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5120;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1iuI2QAAAAoB&#10;AAAPAAAAAAAAAAEAIAAAACIAAABkcnMvZG93bnJldi54bWxQSwECFAAUAAAACACHTuJAWRO2/OEB&#10;AAC3AwAADgAAAAAAAAABACAAAAAoAQAAZHJzL2Uyb0RvYy54bWxQSwUGAAAAAAYABgBZAQAAewUA&#10;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52F"/>
    <w:rsid w:val="0023086C"/>
    <w:rsid w:val="00292ED9"/>
    <w:rsid w:val="00404E5B"/>
    <w:rsid w:val="00414F7B"/>
    <w:rsid w:val="004355DC"/>
    <w:rsid w:val="004749B4"/>
    <w:rsid w:val="00494130"/>
    <w:rsid w:val="004F3523"/>
    <w:rsid w:val="005973B9"/>
    <w:rsid w:val="005B3A56"/>
    <w:rsid w:val="006060CE"/>
    <w:rsid w:val="0063497F"/>
    <w:rsid w:val="00770E30"/>
    <w:rsid w:val="007D3A55"/>
    <w:rsid w:val="00873DF0"/>
    <w:rsid w:val="008756E6"/>
    <w:rsid w:val="00983618"/>
    <w:rsid w:val="009B2D44"/>
    <w:rsid w:val="00A07E82"/>
    <w:rsid w:val="00A9710C"/>
    <w:rsid w:val="00AE3E37"/>
    <w:rsid w:val="00B21A57"/>
    <w:rsid w:val="00C33602"/>
    <w:rsid w:val="00CD6F55"/>
    <w:rsid w:val="00DE3104"/>
    <w:rsid w:val="00E92544"/>
    <w:rsid w:val="00F2380B"/>
    <w:rsid w:val="00F72EEA"/>
    <w:rsid w:val="00F84CAE"/>
    <w:rsid w:val="1E1D6D20"/>
    <w:rsid w:val="206E7CC2"/>
    <w:rsid w:val="2AD564BE"/>
    <w:rsid w:val="353A37B5"/>
    <w:rsid w:val="3626264B"/>
    <w:rsid w:val="4164504D"/>
    <w:rsid w:val="57FF5946"/>
    <w:rsid w:val="63647A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semiHidden/>
    <w:unhideWhenUsed/>
    <w:uiPriority w:val="1"/>
  </w:style>
  <w:style w:type="table" w:default="1" w:styleId="11">
    <w:name w:val="Normal Table"/>
    <w:semiHidden/>
    <w:unhideWhenUsed/>
    <w:uiPriority w:val="99"/>
    <w:tblPr>
      <w:tblLayout w:type="fixed"/>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semiHidden/>
    <w:unhideWhenUsed/>
    <w:qFormat/>
    <w:uiPriority w:val="99"/>
    <w:rPr>
      <w:rFonts w:ascii="Tahoma" w:hAnsi="Tahoma" w:cs="Tahoma"/>
      <w:sz w:val="16"/>
      <w:szCs w:val="16"/>
    </w:rPr>
  </w:style>
  <w:style w:type="paragraph" w:styleId="7">
    <w:name w:val="footer"/>
    <w:basedOn w:val="1"/>
    <w:link w:val="15"/>
    <w:unhideWhenUsed/>
    <w:qFormat/>
    <w:uiPriority w:val="99"/>
    <w:pPr>
      <w:tabs>
        <w:tab w:val="center" w:pos="4513"/>
        <w:tab w:val="right" w:pos="9026"/>
      </w:tabs>
    </w:pPr>
  </w:style>
  <w:style w:type="paragraph" w:styleId="8">
    <w:name w:val="header"/>
    <w:basedOn w:val="1"/>
    <w:link w:val="14"/>
    <w:unhideWhenUsed/>
    <w:qFormat/>
    <w:uiPriority w:val="99"/>
    <w:pPr>
      <w:tabs>
        <w:tab w:val="center" w:pos="4513"/>
        <w:tab w:val="right" w:pos="9026"/>
      </w:tabs>
    </w:pPr>
  </w:style>
  <w:style w:type="character" w:styleId="10">
    <w:name w:val="Hyperlink"/>
    <w:basedOn w:val="9"/>
    <w:unhideWhenUsed/>
    <w:qFormat/>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9"/>
    <w:link w:val="8"/>
    <w:qFormat/>
    <w:uiPriority w:val="99"/>
    <w:rPr>
      <w:rFonts w:ascii="Tw Cen MT" w:hAnsi="Tw Cen MT" w:eastAsia="Tw Cen MT" w:cs="Tw Cen MT"/>
    </w:rPr>
  </w:style>
  <w:style w:type="character" w:customStyle="1" w:styleId="15">
    <w:name w:val="Footer Char"/>
    <w:basedOn w:val="9"/>
    <w:link w:val="7"/>
    <w:qFormat/>
    <w:uiPriority w:val="99"/>
    <w:rPr>
      <w:rFonts w:ascii="Tw Cen MT" w:hAnsi="Tw Cen MT" w:eastAsia="Tw Cen MT" w:cs="Tw Cen MT"/>
    </w:rPr>
  </w:style>
  <w:style w:type="character" w:customStyle="1" w:styleId="16">
    <w:name w:val="Balloon Text Char"/>
    <w:basedOn w:val="9"/>
    <w:link w:val="6"/>
    <w:semiHidden/>
    <w:qFormat/>
    <w:uiPriority w:val="99"/>
    <w:rPr>
      <w:rFonts w:ascii="Tahoma" w:hAnsi="Tahoma" w:eastAsia="Tw Cen MT" w:cs="Tahoma"/>
      <w:sz w:val="16"/>
      <w:szCs w:val="16"/>
    </w:rPr>
  </w:style>
  <w:style w:type="character" w:customStyle="1" w:styleId="17">
    <w:name w:val="Body Text Char"/>
    <w:basedOn w:val="9"/>
    <w:link w:val="5"/>
    <w:qFormat/>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emf"/><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549</Words>
  <Characters>3131</Characters>
  <Lines>26</Lines>
  <Paragraphs>7</Paragraphs>
  <TotalTime>1</TotalTime>
  <ScaleCrop>false</ScaleCrop>
  <LinksUpToDate>false</LinksUpToDate>
  <CharactersWithSpaces>3673</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2016-08-31T10:27:00Z</dcterms:created>
  <dc:creator>mehaboobi shaik</dc:creator>
  <cp:lastModifiedBy>小微子1418403522</cp:lastModifiedBy>
  <dcterms:modified xsi:type="dcterms:W3CDTF">2018-05-04T07:46:38Z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2052-10.1.0.7346</vt:lpwstr>
  </property>
</Properties>
</file>