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CF5BD3" w:rsidP="00494130">
      <w:pPr>
        <w:pStyle w:val="Heading1"/>
        <w:spacing w:before="170"/>
        <w:ind w:left="0"/>
      </w:pPr>
      <w:bookmarkStart w:id="0" w:name="_GoBack"/>
      <w:bookmarkEnd w:id="0"/>
      <w:r>
        <w:rPr>
          <w:color w:val="337AB7"/>
        </w:rPr>
        <w:t>Poly</w:t>
      </w:r>
      <w:r w:rsidR="00736458">
        <w:rPr>
          <w:color w:val="337AB7"/>
        </w:rPr>
        <w:t>acetylene: Myth, Reality and a Way F</w:t>
      </w:r>
      <w:r>
        <w:rPr>
          <w:color w:val="337AB7"/>
        </w:rPr>
        <w:t>orward.</w:t>
      </w:r>
    </w:p>
    <w:p w:rsidR="005973B9" w:rsidRDefault="00CF5BD3" w:rsidP="00CF5BD3">
      <w:pPr>
        <w:pStyle w:val="BodyText"/>
        <w:spacing w:before="73" w:line="198" w:lineRule="exact"/>
        <w:ind w:left="100" w:right="5987" w:firstLine="620"/>
        <w:rPr>
          <w:rFonts w:ascii="Arial"/>
        </w:rPr>
      </w:pPr>
      <w:r>
        <w:rPr>
          <w:rFonts w:ascii="Arial"/>
        </w:rPr>
        <w:t>Bruce S. Hudson, PhD, Syracuse University</w:t>
      </w:r>
      <w:r w:rsidR="005973B9">
        <w:rPr>
          <w:rFonts w:ascii="Arial"/>
        </w:rPr>
        <w:t xml:space="preserve">,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5255C" w:rsidRPr="00252DD4" w:rsidRDefault="00C76975" w:rsidP="00B5255C">
      <w:pPr>
        <w:rPr>
          <w:sz w:val="16"/>
          <w:szCs w:val="18"/>
        </w:rPr>
      </w:pPr>
      <w:r w:rsidRPr="00676B4F">
        <w:rPr>
          <w:sz w:val="18"/>
          <w:szCs w:val="18"/>
        </w:rPr>
        <w:t xml:space="preserve">Statement of the Problem: </w:t>
      </w:r>
      <w:r w:rsidR="00B5255C" w:rsidRPr="00676B4F">
        <w:rPr>
          <w:sz w:val="18"/>
          <w:szCs w:val="18"/>
        </w:rPr>
        <w:t xml:space="preserve">Polyacetylene, the simplest and oldest conducting polymer, has never been made in a form that permits rigorous determination of its structure. </w:t>
      </w:r>
      <w:proofErr w:type="gramStart"/>
      <w:r w:rsidR="00B5255C" w:rsidRPr="00676B4F">
        <w:rPr>
          <w:i/>
          <w:sz w:val="18"/>
          <w:szCs w:val="18"/>
        </w:rPr>
        <w:t>Trans</w:t>
      </w:r>
      <w:proofErr w:type="gramEnd"/>
      <w:r w:rsidR="00B5255C" w:rsidRPr="00676B4F">
        <w:rPr>
          <w:sz w:val="18"/>
          <w:szCs w:val="18"/>
        </w:rPr>
        <w:t xml:space="preserve"> polyacetylene will have two equivalent </w:t>
      </w:r>
      <w:r w:rsidRPr="00676B4F">
        <w:rPr>
          <w:sz w:val="18"/>
          <w:szCs w:val="18"/>
        </w:rPr>
        <w:t xml:space="preserve">potential energy </w:t>
      </w:r>
      <w:r w:rsidR="00B5255C" w:rsidRPr="00676B4F">
        <w:rPr>
          <w:sz w:val="18"/>
          <w:szCs w:val="18"/>
        </w:rPr>
        <w:t>minima. It has been assumed that this results in bond length alternation. It is</w:t>
      </w:r>
      <w:r w:rsidRPr="00676B4F">
        <w:rPr>
          <w:sz w:val="18"/>
          <w:szCs w:val="18"/>
        </w:rPr>
        <w:t>, however,</w:t>
      </w:r>
      <w:r w:rsidR="00B5255C" w:rsidRPr="00676B4F">
        <w:rPr>
          <w:sz w:val="18"/>
          <w:szCs w:val="18"/>
        </w:rPr>
        <w:t xml:space="preserve"> very likely that the zero-point energy is above the Peierls barrier. Experimental studies that purport to show bond alternation have been reviewed and shown to be compromised by experimental inconsistencies or by the presence of finite chain polyenes. </w:t>
      </w:r>
      <w:r w:rsidR="00B0246E">
        <w:rPr>
          <w:sz w:val="18"/>
          <w:szCs w:val="18"/>
        </w:rPr>
        <w:t>This situation has been reviewed in an open paper.</w:t>
      </w:r>
      <w:r w:rsidR="00B5255C" w:rsidRPr="00676B4F">
        <w:rPr>
          <w:sz w:val="18"/>
          <w:szCs w:val="18"/>
        </w:rPr>
        <w:t xml:space="preserve"> </w:t>
      </w:r>
      <w:hyperlink r:id="rId9" w:history="1">
        <w:r w:rsidR="00B0246E" w:rsidRPr="00B0246E">
          <w:rPr>
            <w:rStyle w:val="Hyperlink"/>
            <w:sz w:val="16"/>
            <w:szCs w:val="16"/>
          </w:rPr>
          <w:t>http://www.mdpi.com/1996-1944/11/2/242/pdf</w:t>
        </w:r>
      </w:hyperlink>
      <w:hyperlink r:id="rId10" w:history="1">
        <w:r w:rsidR="00B0246E" w:rsidRPr="00B0246E">
          <w:rPr>
            <w:rStyle w:val="Hyperlink"/>
            <w:sz w:val="16"/>
            <w:szCs w:val="16"/>
          </w:rPr>
          <w:t> </w:t>
        </w:r>
      </w:hyperlink>
      <w:r w:rsidR="00B0246E" w:rsidRPr="00676B4F">
        <w:rPr>
          <w:sz w:val="18"/>
          <w:szCs w:val="18"/>
        </w:rPr>
        <w:t xml:space="preserve"> </w:t>
      </w:r>
      <w:proofErr w:type="gramStart"/>
      <w:r w:rsidR="00B5255C" w:rsidRPr="00676B4F">
        <w:rPr>
          <w:sz w:val="18"/>
          <w:szCs w:val="18"/>
        </w:rPr>
        <w:t>A</w:t>
      </w:r>
      <w:proofErr w:type="gramEnd"/>
      <w:r w:rsidR="00676B4F">
        <w:rPr>
          <w:sz w:val="18"/>
          <w:szCs w:val="18"/>
        </w:rPr>
        <w:t xml:space="preserve"> method</w:t>
      </w:r>
      <w:r w:rsidR="00B5255C" w:rsidRPr="00676B4F">
        <w:rPr>
          <w:sz w:val="18"/>
          <w:szCs w:val="18"/>
        </w:rPr>
        <w:t xml:space="preserve"> for preparation of high molecular weight polyacetylene with fully extended chains that are prevented from reacting with neighboring chains by photochemical polymerization of a reactive guest molecules in urea inclusion complexes (UICs) is then discussed. The structural chemistry of these UIC materials will be reviewed. Our current projects involve guest species diiodobutadiene or </w:t>
      </w:r>
      <w:proofErr w:type="spellStart"/>
      <w:r w:rsidR="00B5255C" w:rsidRPr="00676B4F">
        <w:rPr>
          <w:sz w:val="18"/>
          <w:szCs w:val="18"/>
        </w:rPr>
        <w:t>diiodohexatriene</w:t>
      </w:r>
      <w:proofErr w:type="spellEnd"/>
      <w:r w:rsidR="00B5255C" w:rsidRPr="00676B4F">
        <w:rPr>
          <w:sz w:val="18"/>
          <w:szCs w:val="18"/>
        </w:rPr>
        <w:t xml:space="preserve">. The loss of iodine atoms during the elimination polymerization is monitored by weight loss. The polyacetylene chains form in UIC channels as fully extended chains that are parallel with a separation of 0.82 nm in a hexagonal lattice. </w:t>
      </w:r>
      <w:r w:rsidR="00673706">
        <w:rPr>
          <w:sz w:val="18"/>
          <w:szCs w:val="18"/>
        </w:rPr>
        <w:t xml:space="preserve">The diene and </w:t>
      </w:r>
      <w:proofErr w:type="spellStart"/>
      <w:r w:rsidR="00673706">
        <w:rPr>
          <w:sz w:val="18"/>
          <w:szCs w:val="18"/>
        </w:rPr>
        <w:t>triene</w:t>
      </w:r>
      <w:proofErr w:type="spellEnd"/>
      <w:r w:rsidR="00673706">
        <w:rPr>
          <w:sz w:val="18"/>
          <w:szCs w:val="18"/>
        </w:rPr>
        <w:t xml:space="preserve"> guest species differ in crystal morphology with the </w:t>
      </w:r>
      <w:proofErr w:type="spellStart"/>
      <w:r w:rsidR="00673706">
        <w:rPr>
          <w:sz w:val="18"/>
          <w:szCs w:val="18"/>
        </w:rPr>
        <w:t>triene</w:t>
      </w:r>
      <w:proofErr w:type="spellEnd"/>
      <w:r w:rsidR="00673706">
        <w:rPr>
          <w:sz w:val="18"/>
          <w:szCs w:val="18"/>
        </w:rPr>
        <w:t xml:space="preserve"> presenting with hexagonal needles. </w:t>
      </w:r>
      <w:r w:rsidR="00676B4F" w:rsidRPr="00676B4F">
        <w:rPr>
          <w:sz w:val="18"/>
          <w:szCs w:val="18"/>
        </w:rPr>
        <w:t xml:space="preserve">Raman spectroscopy </w:t>
      </w:r>
      <w:r w:rsidRPr="00676B4F">
        <w:rPr>
          <w:sz w:val="18"/>
          <w:szCs w:val="18"/>
        </w:rPr>
        <w:t>used to mo</w:t>
      </w:r>
      <w:r w:rsidR="00676B4F" w:rsidRPr="00676B4F">
        <w:rPr>
          <w:sz w:val="18"/>
          <w:szCs w:val="18"/>
        </w:rPr>
        <w:t xml:space="preserve">nitor the formation of </w:t>
      </w:r>
      <w:r w:rsidRPr="00676B4F">
        <w:rPr>
          <w:sz w:val="18"/>
          <w:szCs w:val="18"/>
        </w:rPr>
        <w:t>polyene chains</w:t>
      </w:r>
      <w:r w:rsidR="00676B4F" w:rsidRPr="00676B4F">
        <w:rPr>
          <w:sz w:val="18"/>
          <w:szCs w:val="18"/>
        </w:rPr>
        <w:t xml:space="preserve"> suffers loos of intensity when the chains are very long</w:t>
      </w:r>
      <w:r w:rsidRPr="00676B4F">
        <w:rPr>
          <w:sz w:val="18"/>
          <w:szCs w:val="18"/>
        </w:rPr>
        <w:t xml:space="preserve">. </w:t>
      </w:r>
      <w:r w:rsidR="00B5255C" w:rsidRPr="00676B4F">
        <w:rPr>
          <w:sz w:val="18"/>
          <w:szCs w:val="18"/>
        </w:rPr>
        <w:t>The final material is characterized by vibrational inelas</w:t>
      </w:r>
      <w:r w:rsidR="00676B4F" w:rsidRPr="00676B4F">
        <w:rPr>
          <w:sz w:val="18"/>
          <w:szCs w:val="18"/>
        </w:rPr>
        <w:t xml:space="preserve">tic neutron scattering using VISION </w:t>
      </w:r>
      <w:r w:rsidR="00B5255C" w:rsidRPr="00676B4F">
        <w:rPr>
          <w:sz w:val="18"/>
          <w:szCs w:val="18"/>
        </w:rPr>
        <w:t>at the Oak Ridge National Laboratory. Our ultimate objective is to m</w:t>
      </w:r>
      <w:r w:rsidR="00676B4F" w:rsidRPr="00676B4F">
        <w:rPr>
          <w:sz w:val="18"/>
          <w:szCs w:val="18"/>
        </w:rPr>
        <w:t>easure electrical conduction of</w:t>
      </w:r>
      <w:r w:rsidR="00B5255C" w:rsidRPr="00676B4F">
        <w:rPr>
          <w:sz w:val="18"/>
          <w:szCs w:val="18"/>
        </w:rPr>
        <w:t xml:space="preserve"> </w:t>
      </w:r>
      <w:r w:rsidR="00673706">
        <w:rPr>
          <w:sz w:val="18"/>
          <w:szCs w:val="18"/>
        </w:rPr>
        <w:t xml:space="preserve">polyacetylene in urea inclusion compounds </w:t>
      </w:r>
      <w:r w:rsidR="00B5255C" w:rsidRPr="00676B4F">
        <w:rPr>
          <w:sz w:val="18"/>
          <w:szCs w:val="18"/>
        </w:rPr>
        <w:t>along the c-axis</w:t>
      </w:r>
      <w:r w:rsidR="00252DD4">
        <w:rPr>
          <w:sz w:val="18"/>
          <w:szCs w:val="18"/>
        </w:rPr>
        <w:t xml:space="preserve"> of the hexagonal channel. </w:t>
      </w:r>
      <w:r w:rsidR="00676B4F" w:rsidRPr="00676B4F">
        <w:rPr>
          <w:sz w:val="18"/>
          <w:szCs w:val="18"/>
        </w:rPr>
        <w:t>The</w:t>
      </w:r>
      <w:r w:rsidR="00B5255C" w:rsidRPr="00676B4F">
        <w:rPr>
          <w:sz w:val="18"/>
          <w:szCs w:val="18"/>
        </w:rPr>
        <w:t xml:space="preserve"> strong bonding of carbons atoms suggests that this material may be a superconductor at room temperature</w:t>
      </w:r>
      <w:r w:rsidR="00CF5BD3" w:rsidRPr="00676B4F">
        <w:rPr>
          <w:sz w:val="18"/>
          <w:szCs w:val="18"/>
        </w:rPr>
        <w:t xml:space="preserve"> due to the lack of thermally populated phon</w:t>
      </w:r>
      <w:r w:rsidR="00676B4F" w:rsidRPr="00676B4F">
        <w:rPr>
          <w:sz w:val="18"/>
          <w:szCs w:val="18"/>
        </w:rPr>
        <w:t>o</w:t>
      </w:r>
      <w:r w:rsidR="00CF5BD3" w:rsidRPr="00676B4F">
        <w:rPr>
          <w:sz w:val="18"/>
          <w:szCs w:val="18"/>
        </w:rPr>
        <w:t>ns</w:t>
      </w:r>
      <w:r w:rsidR="00252DD4">
        <w:rPr>
          <w:sz w:val="18"/>
          <w:szCs w:val="18"/>
        </w:rPr>
        <w:t xml:space="preserve">. </w:t>
      </w:r>
      <w:r w:rsidR="00B5255C" w:rsidRPr="00676B4F">
        <w:rPr>
          <w:sz w:val="18"/>
          <w:szCs w:val="18"/>
        </w:rPr>
        <w:t xml:space="preserve">Methods for the formation of closed loop structures are being considered. </w:t>
      </w:r>
    </w:p>
    <w:p w:rsidR="00AE3E37" w:rsidRPr="00252DD4" w:rsidRDefault="00A9710C">
      <w:pPr>
        <w:pStyle w:val="Heading3"/>
        <w:spacing w:before="74"/>
        <w:rPr>
          <w:sz w:val="18"/>
        </w:rPr>
      </w:pPr>
      <w:r w:rsidRPr="00252DD4">
        <w:rPr>
          <w:b w:val="0"/>
          <w:sz w:val="18"/>
        </w:rPr>
        <w:br w:type="column"/>
      </w:r>
      <w:r w:rsidRPr="00252DD4">
        <w:rPr>
          <w:color w:val="BF5A14"/>
          <w:sz w:val="18"/>
        </w:rPr>
        <w:t>Image</w:t>
      </w:r>
    </w:p>
    <w:p w:rsidR="00AE3E37" w:rsidRPr="00252DD4" w:rsidRDefault="006C06AF">
      <w:pPr>
        <w:pStyle w:val="BodyText"/>
        <w:spacing w:before="2"/>
        <w:rPr>
          <w:rFonts w:ascii="Arial"/>
          <w:b/>
          <w:sz w:val="14"/>
        </w:rPr>
      </w:pPr>
      <w:r w:rsidRPr="00252DD4">
        <w:rPr>
          <w:noProof/>
          <w:sz w:val="16"/>
        </w:rPr>
        <w:drawing>
          <wp:inline distT="0" distB="0" distL="0" distR="0" wp14:anchorId="6DE52AD7" wp14:editId="0BA96A20">
            <wp:extent cx="2874245" cy="1375258"/>
            <wp:effectExtent l="0" t="0" r="254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 name="Picture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4565" cy="1384980"/>
                    </a:xfrm>
                    <a:prstGeom prst="rect">
                      <a:avLst/>
                    </a:prstGeom>
                    <a:noFill/>
                    <a:ln>
                      <a:noFill/>
                    </a:ln>
                    <a:extLst/>
                  </pic:spPr>
                </pic:pic>
              </a:graphicData>
            </a:graphic>
          </wp:inline>
        </w:drawing>
      </w:r>
    </w:p>
    <w:p w:rsidR="005973B9" w:rsidRPr="00252DD4" w:rsidRDefault="005973B9" w:rsidP="005973B9">
      <w:pPr>
        <w:spacing w:line="204" w:lineRule="exact"/>
        <w:rPr>
          <w:rFonts w:ascii="Arial"/>
          <w:b/>
          <w:sz w:val="18"/>
        </w:rPr>
      </w:pPr>
      <w:r w:rsidRPr="00252DD4">
        <w:rPr>
          <w:rFonts w:ascii="Arial"/>
          <w:b/>
          <w:color w:val="BF5A14"/>
          <w:sz w:val="18"/>
        </w:rPr>
        <w:br/>
        <w:t>Recent Publications (minimum 5)</w:t>
      </w:r>
    </w:p>
    <w:p w:rsidR="006C06AF" w:rsidRPr="00252DD4" w:rsidRDefault="006C06AF" w:rsidP="006C06AF">
      <w:pPr>
        <w:pStyle w:val="EndnoteText"/>
        <w:rPr>
          <w:rFonts w:ascii="Tw Cen MT" w:hAnsi="Tw Cen MT"/>
          <w:sz w:val="15"/>
          <w:szCs w:val="15"/>
        </w:rPr>
      </w:pPr>
      <w:r w:rsidRPr="00252DD4">
        <w:rPr>
          <w:rFonts w:ascii="Tw Cen MT" w:hAnsi="Tw Cen MT"/>
          <w:sz w:val="15"/>
          <w:szCs w:val="15"/>
        </w:rPr>
        <w:t>(</w:t>
      </w:r>
      <w:r w:rsidRPr="00252DD4">
        <w:rPr>
          <w:rStyle w:val="EndnoteReference"/>
          <w:rFonts w:ascii="Tw Cen MT" w:hAnsi="Tw Cen MT"/>
          <w:sz w:val="15"/>
          <w:szCs w:val="15"/>
        </w:rPr>
        <w:footnoteRef/>
      </w:r>
      <w:r w:rsidRPr="00252DD4">
        <w:rPr>
          <w:rFonts w:ascii="Tw Cen MT" w:hAnsi="Tw Cen MT"/>
          <w:sz w:val="15"/>
          <w:szCs w:val="15"/>
        </w:rPr>
        <w:t xml:space="preserve">) Hudson, B. S. Polyacetylene: Myth &amp; Reality, </w:t>
      </w:r>
      <w:r w:rsidRPr="00252DD4">
        <w:rPr>
          <w:rFonts w:ascii="Tw Cen MT" w:hAnsi="Tw Cen MT"/>
          <w:i/>
          <w:sz w:val="15"/>
          <w:szCs w:val="15"/>
        </w:rPr>
        <w:t>Materials,</w:t>
      </w:r>
      <w:r w:rsidRPr="00252DD4">
        <w:rPr>
          <w:rFonts w:ascii="Tw Cen MT" w:hAnsi="Tw Cen MT"/>
          <w:sz w:val="15"/>
          <w:szCs w:val="15"/>
        </w:rPr>
        <w:t xml:space="preserve"> </w:t>
      </w:r>
      <w:r w:rsidRPr="00252DD4">
        <w:rPr>
          <w:rFonts w:ascii="Tw Cen MT" w:hAnsi="Tw Cen MT"/>
          <w:b/>
          <w:sz w:val="15"/>
          <w:szCs w:val="15"/>
        </w:rPr>
        <w:t xml:space="preserve">2018, </w:t>
      </w:r>
      <w:r w:rsidRPr="00252DD4">
        <w:rPr>
          <w:rStyle w:val="Emphasis"/>
          <w:rFonts w:ascii="Tw Cen MT" w:hAnsi="Tw Cen MT"/>
          <w:sz w:val="15"/>
          <w:szCs w:val="15"/>
        </w:rPr>
        <w:t>11</w:t>
      </w:r>
      <w:r w:rsidRPr="00252DD4">
        <w:rPr>
          <w:rFonts w:ascii="Tw Cen MT" w:hAnsi="Tw Cen MT"/>
          <w:sz w:val="15"/>
          <w:szCs w:val="15"/>
        </w:rPr>
        <w:t>, 242; doi</w:t>
      </w:r>
      <w:proofErr w:type="gramStart"/>
      <w:r w:rsidRPr="00252DD4">
        <w:rPr>
          <w:rFonts w:ascii="Tw Cen MT" w:hAnsi="Tw Cen MT"/>
          <w:sz w:val="15"/>
          <w:szCs w:val="15"/>
        </w:rPr>
        <w:t>:</w:t>
      </w:r>
      <w:proofErr w:type="gramEnd"/>
      <w:hyperlink r:id="rId12" w:history="1">
        <w:r w:rsidRPr="00252DD4">
          <w:rPr>
            <w:rStyle w:val="Hyperlink"/>
            <w:rFonts w:ascii="Tw Cen MT" w:eastAsia="Tw Cen MT" w:hAnsi="Tw Cen MT"/>
            <w:sz w:val="15"/>
            <w:szCs w:val="15"/>
          </w:rPr>
          <w:t>10.3390/ma11020242</w:t>
        </w:r>
      </w:hyperlink>
      <w:r w:rsidRPr="00252DD4">
        <w:rPr>
          <w:rFonts w:ascii="Tw Cen MT" w:hAnsi="Tw Cen MT"/>
          <w:sz w:val="15"/>
          <w:szCs w:val="15"/>
        </w:rPr>
        <w:t>.</w:t>
      </w:r>
    </w:p>
    <w:p w:rsidR="006C06AF" w:rsidRPr="00252DD4" w:rsidRDefault="006C06AF" w:rsidP="006C06AF">
      <w:pPr>
        <w:rPr>
          <w:sz w:val="15"/>
          <w:szCs w:val="15"/>
        </w:rPr>
      </w:pPr>
      <w:r w:rsidRPr="00252DD4">
        <w:rPr>
          <w:sz w:val="15"/>
          <w:szCs w:val="15"/>
        </w:rPr>
        <w:t>(</w:t>
      </w:r>
      <w:r w:rsidRPr="00252DD4">
        <w:rPr>
          <w:rStyle w:val="EndnoteReference"/>
          <w:sz w:val="15"/>
          <w:szCs w:val="15"/>
        </w:rPr>
        <w:t>2</w:t>
      </w:r>
      <w:r w:rsidRPr="00252DD4">
        <w:rPr>
          <w:sz w:val="15"/>
          <w:szCs w:val="15"/>
        </w:rPr>
        <w:t xml:space="preserve">) Hudson, B. S.; Allis, D. G. Bond alternation in infinite periodic polyacetylene: Dynamical treatment of the anharmonic potential. </w:t>
      </w:r>
      <w:r w:rsidRPr="00252DD4">
        <w:rPr>
          <w:i/>
          <w:sz w:val="15"/>
          <w:szCs w:val="15"/>
        </w:rPr>
        <w:t xml:space="preserve">J. </w:t>
      </w:r>
      <w:proofErr w:type="spellStart"/>
      <w:r w:rsidRPr="00252DD4">
        <w:rPr>
          <w:i/>
          <w:sz w:val="15"/>
          <w:szCs w:val="15"/>
        </w:rPr>
        <w:t>Molec</w:t>
      </w:r>
      <w:proofErr w:type="spellEnd"/>
      <w:r w:rsidRPr="00252DD4">
        <w:rPr>
          <w:i/>
          <w:sz w:val="15"/>
          <w:szCs w:val="15"/>
        </w:rPr>
        <w:t xml:space="preserve">. </w:t>
      </w:r>
      <w:proofErr w:type="spellStart"/>
      <w:r w:rsidRPr="00252DD4">
        <w:rPr>
          <w:i/>
          <w:sz w:val="15"/>
          <w:szCs w:val="15"/>
        </w:rPr>
        <w:t>Struct</w:t>
      </w:r>
      <w:proofErr w:type="spellEnd"/>
      <w:r w:rsidRPr="00252DD4">
        <w:rPr>
          <w:sz w:val="15"/>
          <w:szCs w:val="15"/>
        </w:rPr>
        <w:t xml:space="preserve">. </w:t>
      </w:r>
      <w:r w:rsidRPr="00252DD4">
        <w:rPr>
          <w:b/>
          <w:sz w:val="15"/>
          <w:szCs w:val="15"/>
        </w:rPr>
        <w:t>2013</w:t>
      </w:r>
      <w:r w:rsidRPr="00252DD4">
        <w:rPr>
          <w:sz w:val="15"/>
          <w:szCs w:val="15"/>
        </w:rPr>
        <w:t xml:space="preserve">, </w:t>
      </w:r>
      <w:r w:rsidRPr="00252DD4">
        <w:rPr>
          <w:i/>
          <w:sz w:val="15"/>
          <w:szCs w:val="15"/>
        </w:rPr>
        <w:t>1032</w:t>
      </w:r>
      <w:r w:rsidRPr="00252DD4">
        <w:rPr>
          <w:sz w:val="15"/>
          <w:szCs w:val="15"/>
        </w:rPr>
        <w:t>, 78-82.</w:t>
      </w:r>
    </w:p>
    <w:p w:rsidR="006C06AF" w:rsidRPr="00252DD4" w:rsidRDefault="006C06AF" w:rsidP="006C06AF">
      <w:pPr>
        <w:rPr>
          <w:sz w:val="15"/>
          <w:szCs w:val="15"/>
        </w:rPr>
      </w:pPr>
      <w:r w:rsidRPr="00252DD4">
        <w:rPr>
          <w:sz w:val="15"/>
          <w:szCs w:val="15"/>
        </w:rPr>
        <w:t>(</w:t>
      </w:r>
      <w:r w:rsidRPr="00252DD4">
        <w:rPr>
          <w:rStyle w:val="EndnoteReference"/>
          <w:sz w:val="15"/>
          <w:szCs w:val="15"/>
        </w:rPr>
        <w:t>3</w:t>
      </w:r>
      <w:r w:rsidRPr="00252DD4">
        <w:rPr>
          <w:sz w:val="15"/>
          <w:szCs w:val="15"/>
        </w:rPr>
        <w:t>) Harris, K. D. M.; Palmer, B. A.; Edwards-</w:t>
      </w:r>
      <w:proofErr w:type="spellStart"/>
      <w:r w:rsidRPr="00252DD4">
        <w:rPr>
          <w:sz w:val="15"/>
          <w:szCs w:val="15"/>
        </w:rPr>
        <w:t>Gau</w:t>
      </w:r>
      <w:proofErr w:type="spellEnd"/>
      <w:r w:rsidRPr="00252DD4">
        <w:rPr>
          <w:sz w:val="15"/>
          <w:szCs w:val="15"/>
        </w:rPr>
        <w:t xml:space="preserve">, G. R. Reactions in Solid-State Inclusion Compounds. In </w:t>
      </w:r>
      <w:r w:rsidRPr="00252DD4">
        <w:rPr>
          <w:i/>
          <w:sz w:val="15"/>
          <w:szCs w:val="15"/>
        </w:rPr>
        <w:t>Supramolecular Chemistry: From Molecules to Nanomaterials</w:t>
      </w:r>
      <w:r w:rsidRPr="00252DD4">
        <w:rPr>
          <w:sz w:val="15"/>
          <w:szCs w:val="15"/>
        </w:rPr>
        <w:t xml:space="preserve">; Gale, P., Steed, J., Eds.; John Wiley &amp; Sons, Ltd.: </w:t>
      </w:r>
      <w:proofErr w:type="spellStart"/>
      <w:r w:rsidRPr="00252DD4">
        <w:rPr>
          <w:sz w:val="15"/>
          <w:szCs w:val="15"/>
        </w:rPr>
        <w:t>Chichester</w:t>
      </w:r>
      <w:proofErr w:type="spellEnd"/>
      <w:r w:rsidRPr="00252DD4">
        <w:rPr>
          <w:sz w:val="15"/>
          <w:szCs w:val="15"/>
        </w:rPr>
        <w:t>,</w:t>
      </w:r>
      <w:r w:rsidR="006004CB">
        <w:rPr>
          <w:sz w:val="15"/>
          <w:szCs w:val="15"/>
        </w:rPr>
        <w:t xml:space="preserve"> UK, 2012; Volume 4, pp. 1589–</w:t>
      </w:r>
      <w:r w:rsidRPr="00252DD4">
        <w:rPr>
          <w:sz w:val="15"/>
          <w:szCs w:val="15"/>
        </w:rPr>
        <w:t>12.</w:t>
      </w:r>
    </w:p>
    <w:p w:rsidR="006C06AF" w:rsidRPr="00252DD4" w:rsidRDefault="006C06AF" w:rsidP="006C06AF">
      <w:pPr>
        <w:pStyle w:val="EndnoteText"/>
        <w:rPr>
          <w:rFonts w:ascii="Tw Cen MT" w:hAnsi="Tw Cen MT"/>
          <w:color w:val="000000" w:themeColor="text1"/>
          <w:sz w:val="15"/>
          <w:szCs w:val="15"/>
        </w:rPr>
      </w:pPr>
      <w:r w:rsidRPr="00252DD4">
        <w:rPr>
          <w:rFonts w:ascii="Tw Cen MT" w:hAnsi="Tw Cen MT"/>
          <w:sz w:val="15"/>
          <w:szCs w:val="15"/>
        </w:rPr>
        <w:t>(</w:t>
      </w:r>
      <w:r w:rsidRPr="00252DD4">
        <w:rPr>
          <w:rStyle w:val="EndnoteReference"/>
          <w:rFonts w:ascii="Tw Cen MT" w:hAnsi="Tw Cen MT"/>
          <w:sz w:val="15"/>
          <w:szCs w:val="15"/>
        </w:rPr>
        <w:t>4</w:t>
      </w:r>
      <w:r w:rsidRPr="00252DD4">
        <w:rPr>
          <w:rFonts w:ascii="Tw Cen MT" w:hAnsi="Tw Cen MT"/>
          <w:sz w:val="15"/>
          <w:szCs w:val="15"/>
        </w:rPr>
        <w:t xml:space="preserve">) </w:t>
      </w:r>
      <w:proofErr w:type="spellStart"/>
      <w:r w:rsidRPr="00252DD4">
        <w:rPr>
          <w:rFonts w:ascii="Tw Cen MT" w:hAnsi="Tw Cen MT"/>
          <w:sz w:val="15"/>
          <w:szCs w:val="15"/>
        </w:rPr>
        <w:t>Dinca</w:t>
      </w:r>
      <w:proofErr w:type="spellEnd"/>
      <w:r w:rsidRPr="00252DD4">
        <w:rPr>
          <w:rFonts w:ascii="Tw Cen MT" w:hAnsi="Tw Cen MT"/>
          <w:sz w:val="15"/>
          <w:szCs w:val="15"/>
        </w:rPr>
        <w:t xml:space="preserve">, S. A.; Allis, D. G.; </w:t>
      </w:r>
      <w:proofErr w:type="spellStart"/>
      <w:r w:rsidRPr="00252DD4">
        <w:rPr>
          <w:rFonts w:ascii="Tw Cen MT" w:hAnsi="Tw Cen MT"/>
          <w:sz w:val="15"/>
          <w:szCs w:val="15"/>
        </w:rPr>
        <w:t>Lashua</w:t>
      </w:r>
      <w:proofErr w:type="spellEnd"/>
      <w:r w:rsidRPr="00252DD4">
        <w:rPr>
          <w:rFonts w:ascii="Tw Cen MT" w:hAnsi="Tw Cen MT"/>
          <w:sz w:val="15"/>
          <w:szCs w:val="15"/>
        </w:rPr>
        <w:t xml:space="preserve">, A. F.; </w:t>
      </w:r>
      <w:proofErr w:type="spellStart"/>
      <w:r w:rsidRPr="00252DD4">
        <w:rPr>
          <w:rFonts w:ascii="Tw Cen MT" w:hAnsi="Tw Cen MT"/>
          <w:sz w:val="15"/>
          <w:szCs w:val="15"/>
        </w:rPr>
        <w:t>Sponsler</w:t>
      </w:r>
      <w:proofErr w:type="spellEnd"/>
      <w:r w:rsidRPr="00252DD4">
        <w:rPr>
          <w:rFonts w:ascii="Tw Cen MT" w:hAnsi="Tw Cen MT"/>
          <w:sz w:val="15"/>
          <w:szCs w:val="15"/>
        </w:rPr>
        <w:t xml:space="preserve">, M. B.; Hudson, B. S. </w:t>
      </w:r>
      <w:r w:rsidRPr="00252DD4">
        <w:rPr>
          <w:rFonts w:ascii="Tw Cen MT" w:hAnsi="Tw Cen MT"/>
          <w:color w:val="000000" w:themeColor="text1"/>
          <w:sz w:val="15"/>
          <w:szCs w:val="15"/>
        </w:rPr>
        <w:t xml:space="preserve">Insulated Polyacetylene Chains in an Inclusion Complex by </w:t>
      </w:r>
      <w:proofErr w:type="spellStart"/>
      <w:r w:rsidRPr="00252DD4">
        <w:rPr>
          <w:rFonts w:ascii="Tw Cen MT" w:hAnsi="Tw Cen MT"/>
          <w:color w:val="000000" w:themeColor="text1"/>
          <w:sz w:val="15"/>
          <w:szCs w:val="15"/>
        </w:rPr>
        <w:t>Photopolymerization</w:t>
      </w:r>
      <w:proofErr w:type="spellEnd"/>
      <w:r w:rsidRPr="00252DD4">
        <w:rPr>
          <w:rFonts w:ascii="Tw Cen MT" w:hAnsi="Tw Cen MT"/>
          <w:color w:val="000000" w:themeColor="text1"/>
          <w:sz w:val="15"/>
          <w:szCs w:val="15"/>
        </w:rPr>
        <w:t xml:space="preserve">. In </w:t>
      </w:r>
      <w:r w:rsidRPr="00252DD4">
        <w:rPr>
          <w:rFonts w:ascii="Tw Cen MT" w:hAnsi="Tw Cen MT"/>
          <w:i/>
          <w:color w:val="000000" w:themeColor="text1"/>
          <w:sz w:val="15"/>
          <w:szCs w:val="15"/>
        </w:rPr>
        <w:t>Crystal Engineering</w:t>
      </w:r>
      <w:r w:rsidRPr="00252DD4">
        <w:rPr>
          <w:rFonts w:cs="Arial"/>
          <w:i/>
          <w:color w:val="000000" w:themeColor="text1"/>
          <w:sz w:val="15"/>
          <w:szCs w:val="15"/>
        </w:rPr>
        <w:t>―</w:t>
      </w:r>
      <w:r w:rsidRPr="00252DD4">
        <w:rPr>
          <w:rFonts w:ascii="Tw Cen MT" w:hAnsi="Tw Cen MT"/>
          <w:i/>
          <w:color w:val="000000" w:themeColor="text1"/>
          <w:sz w:val="15"/>
          <w:szCs w:val="15"/>
        </w:rPr>
        <w:t xml:space="preserve">Design, New Materials and Application, </w:t>
      </w:r>
      <w:r w:rsidRPr="00252DD4">
        <w:rPr>
          <w:rFonts w:ascii="Tw Cen MT" w:hAnsi="Tw Cen MT"/>
          <w:color w:val="000000" w:themeColor="text1"/>
          <w:sz w:val="15"/>
          <w:szCs w:val="15"/>
        </w:rPr>
        <w:t xml:space="preserve">Proceedings of the 2015 Material Research Society Symposium MM; </w:t>
      </w:r>
      <w:proofErr w:type="spellStart"/>
      <w:r w:rsidRPr="00252DD4">
        <w:rPr>
          <w:rFonts w:ascii="Tw Cen MT" w:hAnsi="Tw Cen MT"/>
          <w:color w:val="000000" w:themeColor="text1"/>
          <w:sz w:val="15"/>
          <w:szCs w:val="15"/>
        </w:rPr>
        <w:t>Parkin</w:t>
      </w:r>
      <w:proofErr w:type="spellEnd"/>
      <w:r w:rsidRPr="00252DD4">
        <w:rPr>
          <w:rFonts w:ascii="Tw Cen MT" w:hAnsi="Tw Cen MT"/>
          <w:color w:val="000000" w:themeColor="text1"/>
          <w:sz w:val="15"/>
          <w:szCs w:val="15"/>
        </w:rPr>
        <w:t>, S. Ed.; Cambridge University Press, 2015; Volume 1799, p. 7.</w:t>
      </w:r>
    </w:p>
    <w:p w:rsidR="006C06AF" w:rsidRPr="00252DD4" w:rsidRDefault="006C06AF" w:rsidP="006C06AF">
      <w:pPr>
        <w:autoSpaceDE w:val="0"/>
        <w:autoSpaceDN w:val="0"/>
        <w:adjustRightInd w:val="0"/>
        <w:rPr>
          <w:sz w:val="15"/>
          <w:szCs w:val="15"/>
        </w:rPr>
      </w:pPr>
      <w:r w:rsidRPr="00252DD4">
        <w:rPr>
          <w:sz w:val="15"/>
          <w:szCs w:val="15"/>
        </w:rPr>
        <w:t>(</w:t>
      </w:r>
      <w:r w:rsidRPr="00252DD4">
        <w:rPr>
          <w:rStyle w:val="EndnoteReference"/>
          <w:sz w:val="15"/>
          <w:szCs w:val="15"/>
        </w:rPr>
        <w:t>5</w:t>
      </w:r>
      <w:r w:rsidRPr="00252DD4">
        <w:rPr>
          <w:sz w:val="15"/>
          <w:szCs w:val="15"/>
        </w:rPr>
        <w:t xml:space="preserve">) </w:t>
      </w:r>
      <w:proofErr w:type="spellStart"/>
      <w:r w:rsidRPr="00252DD4">
        <w:rPr>
          <w:sz w:val="15"/>
          <w:szCs w:val="15"/>
        </w:rPr>
        <w:t>Lashua</w:t>
      </w:r>
      <w:proofErr w:type="spellEnd"/>
      <w:r w:rsidRPr="00252DD4">
        <w:rPr>
          <w:sz w:val="15"/>
          <w:szCs w:val="15"/>
        </w:rPr>
        <w:t xml:space="preserve">, A. F.; Smith, T. M.; Hu, H.; Wei, L.; Allis, D. G.; </w:t>
      </w:r>
      <w:proofErr w:type="spellStart"/>
      <w:r w:rsidRPr="00252DD4">
        <w:rPr>
          <w:sz w:val="15"/>
          <w:szCs w:val="15"/>
        </w:rPr>
        <w:t>Sponsler</w:t>
      </w:r>
      <w:proofErr w:type="spellEnd"/>
      <w:r w:rsidRPr="00252DD4">
        <w:rPr>
          <w:sz w:val="15"/>
          <w:szCs w:val="15"/>
        </w:rPr>
        <w:t>, M. B.; Hudson, B. S. Commensurate Urea Inclusion Crystals with the Guest (E,E)</w:t>
      </w:r>
      <w:r w:rsidRPr="00252DD4">
        <w:rPr>
          <w:rFonts w:ascii="Cambria Math" w:eastAsia="MS Mincho" w:hAnsi="Cambria Math" w:cs="Cambria Math"/>
          <w:sz w:val="15"/>
          <w:szCs w:val="15"/>
        </w:rPr>
        <w:t>‑</w:t>
      </w:r>
      <w:r w:rsidRPr="00252DD4">
        <w:rPr>
          <w:sz w:val="15"/>
          <w:szCs w:val="15"/>
        </w:rPr>
        <w:t xml:space="preserve">1,4-Diiodo-1,3-Butadiene. </w:t>
      </w:r>
      <w:proofErr w:type="spellStart"/>
      <w:r w:rsidRPr="00252DD4">
        <w:rPr>
          <w:i/>
          <w:sz w:val="15"/>
          <w:szCs w:val="15"/>
        </w:rPr>
        <w:t>Cryst</w:t>
      </w:r>
      <w:proofErr w:type="spellEnd"/>
      <w:r w:rsidRPr="00252DD4">
        <w:rPr>
          <w:i/>
          <w:sz w:val="15"/>
          <w:szCs w:val="15"/>
        </w:rPr>
        <w:t>. Growth Des</w:t>
      </w:r>
      <w:r w:rsidRPr="00252DD4">
        <w:rPr>
          <w:sz w:val="15"/>
          <w:szCs w:val="15"/>
        </w:rPr>
        <w:t xml:space="preserve">. </w:t>
      </w:r>
      <w:r w:rsidRPr="00252DD4">
        <w:rPr>
          <w:b/>
          <w:sz w:val="15"/>
          <w:szCs w:val="15"/>
        </w:rPr>
        <w:t>2013</w:t>
      </w:r>
      <w:r w:rsidRPr="00252DD4">
        <w:rPr>
          <w:sz w:val="15"/>
          <w:szCs w:val="15"/>
        </w:rPr>
        <w:t xml:space="preserve">, </w:t>
      </w:r>
      <w:r w:rsidRPr="00252DD4">
        <w:rPr>
          <w:i/>
          <w:sz w:val="15"/>
          <w:szCs w:val="15"/>
        </w:rPr>
        <w:t>13</w:t>
      </w:r>
      <w:r w:rsidRPr="00252DD4">
        <w:rPr>
          <w:sz w:val="15"/>
          <w:szCs w:val="15"/>
        </w:rPr>
        <w:t>, 3852-3855.</w:t>
      </w:r>
    </w:p>
    <w:p w:rsidR="006C06AF" w:rsidRPr="00252DD4" w:rsidRDefault="006C06AF" w:rsidP="00252DD4">
      <w:pPr>
        <w:pStyle w:val="EndnoteText"/>
        <w:contextualSpacing/>
        <w:rPr>
          <w:rFonts w:ascii="Tw Cen MT" w:hAnsi="Tw Cen MT"/>
          <w:sz w:val="15"/>
          <w:szCs w:val="15"/>
        </w:rPr>
      </w:pPr>
      <w:r w:rsidRPr="00252DD4">
        <w:rPr>
          <w:rFonts w:ascii="Tw Cen MT" w:hAnsi="Tw Cen MT"/>
          <w:sz w:val="15"/>
          <w:szCs w:val="15"/>
        </w:rPr>
        <w:t>(</w:t>
      </w:r>
      <w:r w:rsidR="006004CB">
        <w:rPr>
          <w:rStyle w:val="EndnoteReference"/>
          <w:rFonts w:ascii="Tw Cen MT" w:hAnsi="Tw Cen MT"/>
          <w:sz w:val="15"/>
          <w:szCs w:val="15"/>
        </w:rPr>
        <w:t>6</w:t>
      </w:r>
      <w:r w:rsidRPr="00252DD4">
        <w:rPr>
          <w:rFonts w:ascii="Tw Cen MT" w:hAnsi="Tw Cen MT"/>
          <w:sz w:val="15"/>
          <w:szCs w:val="15"/>
        </w:rPr>
        <w:t>) Marti-</w:t>
      </w:r>
      <w:proofErr w:type="spellStart"/>
      <w:r w:rsidRPr="00252DD4">
        <w:rPr>
          <w:rFonts w:ascii="Tw Cen MT" w:hAnsi="Tw Cen MT"/>
          <w:sz w:val="15"/>
          <w:szCs w:val="15"/>
        </w:rPr>
        <w:t>Rujas</w:t>
      </w:r>
      <w:proofErr w:type="spellEnd"/>
      <w:r w:rsidRPr="00252DD4">
        <w:rPr>
          <w:rFonts w:ascii="Tw Cen MT" w:hAnsi="Tw Cen MT"/>
          <w:sz w:val="15"/>
          <w:szCs w:val="15"/>
        </w:rPr>
        <w:t xml:space="preserve">, J.; </w:t>
      </w:r>
      <w:proofErr w:type="spellStart"/>
      <w:r w:rsidRPr="00252DD4">
        <w:rPr>
          <w:rFonts w:ascii="Tw Cen MT" w:hAnsi="Tw Cen MT"/>
          <w:sz w:val="15"/>
          <w:szCs w:val="15"/>
        </w:rPr>
        <w:t>Desmedt</w:t>
      </w:r>
      <w:proofErr w:type="spellEnd"/>
      <w:r w:rsidRPr="00252DD4">
        <w:rPr>
          <w:rFonts w:ascii="Tw Cen MT" w:hAnsi="Tw Cen MT"/>
          <w:sz w:val="15"/>
          <w:szCs w:val="15"/>
        </w:rPr>
        <w:t xml:space="preserve">, A.; Harris, K. D. M.; Guillaume, F. Bidirectional Transport of Guest Molecules through the </w:t>
      </w:r>
      <w:proofErr w:type="spellStart"/>
      <w:r w:rsidRPr="00252DD4">
        <w:rPr>
          <w:rFonts w:ascii="Tw Cen MT" w:hAnsi="Tw Cen MT"/>
          <w:sz w:val="15"/>
          <w:szCs w:val="15"/>
        </w:rPr>
        <w:t>Nanoporous</w:t>
      </w:r>
      <w:proofErr w:type="spellEnd"/>
      <w:r w:rsidRPr="00252DD4">
        <w:rPr>
          <w:rFonts w:ascii="Tw Cen MT" w:hAnsi="Tw Cen MT"/>
          <w:sz w:val="15"/>
          <w:szCs w:val="15"/>
        </w:rPr>
        <w:t xml:space="preserve"> Tunnel Structure of a Solid Inclusion Compound. </w:t>
      </w:r>
      <w:r w:rsidRPr="00252DD4">
        <w:rPr>
          <w:rFonts w:ascii="Tw Cen MT" w:hAnsi="Tw Cen MT"/>
          <w:i/>
          <w:sz w:val="15"/>
          <w:szCs w:val="15"/>
        </w:rPr>
        <w:t xml:space="preserve">J. Phys. Chem. C </w:t>
      </w:r>
      <w:r w:rsidRPr="00252DD4">
        <w:rPr>
          <w:rFonts w:ascii="Tw Cen MT" w:hAnsi="Tw Cen MT"/>
          <w:b/>
          <w:sz w:val="15"/>
          <w:szCs w:val="15"/>
        </w:rPr>
        <w:t>2009</w:t>
      </w:r>
      <w:r w:rsidRPr="00252DD4">
        <w:rPr>
          <w:rFonts w:ascii="Tw Cen MT" w:hAnsi="Tw Cen MT"/>
          <w:sz w:val="15"/>
          <w:szCs w:val="15"/>
        </w:rPr>
        <w:t xml:space="preserve">, </w:t>
      </w:r>
      <w:r w:rsidRPr="00252DD4">
        <w:rPr>
          <w:rFonts w:ascii="Tw Cen MT" w:hAnsi="Tw Cen MT"/>
          <w:i/>
          <w:sz w:val="15"/>
          <w:szCs w:val="15"/>
        </w:rPr>
        <w:t>113</w:t>
      </w:r>
      <w:r w:rsidRPr="00252DD4">
        <w:rPr>
          <w:rFonts w:ascii="Tw Cen MT" w:hAnsi="Tw Cen MT"/>
          <w:sz w:val="15"/>
          <w:szCs w:val="15"/>
        </w:rPr>
        <w:t>, 736–743.</w:t>
      </w:r>
    </w:p>
    <w:p w:rsidR="005973B9" w:rsidRPr="00252DD4" w:rsidRDefault="006C06AF" w:rsidP="00252DD4">
      <w:pPr>
        <w:tabs>
          <w:tab w:val="left" w:pos="384"/>
        </w:tabs>
        <w:ind w:right="138"/>
        <w:contextualSpacing/>
        <w:rPr>
          <w:sz w:val="15"/>
          <w:szCs w:val="15"/>
        </w:rPr>
      </w:pPr>
      <w:r w:rsidRPr="00252DD4">
        <w:rPr>
          <w:sz w:val="15"/>
          <w:szCs w:val="15"/>
        </w:rPr>
        <w:t>(</w:t>
      </w:r>
      <w:r w:rsidR="006004CB">
        <w:rPr>
          <w:rStyle w:val="EndnoteReference"/>
          <w:sz w:val="15"/>
          <w:szCs w:val="15"/>
        </w:rPr>
        <w:t>7</w:t>
      </w:r>
      <w:r w:rsidRPr="00252DD4">
        <w:rPr>
          <w:sz w:val="15"/>
          <w:szCs w:val="15"/>
        </w:rPr>
        <w:t>) Hudson, B. S., Oriented n-alkanes in Urea-d4 Inclusion Complexes for Inelastic Neutron Scattering Vibrational Studies</w:t>
      </w:r>
      <w:r w:rsidRPr="00252DD4">
        <w:rPr>
          <w:i/>
          <w:sz w:val="15"/>
          <w:szCs w:val="15"/>
        </w:rPr>
        <w:t>, Molecular Crystals and Liquid Crystals</w:t>
      </w:r>
      <w:r w:rsidRPr="00252DD4">
        <w:rPr>
          <w:sz w:val="15"/>
          <w:szCs w:val="15"/>
        </w:rPr>
        <w:t xml:space="preserve"> </w:t>
      </w:r>
      <w:r w:rsidRPr="00252DD4">
        <w:rPr>
          <w:b/>
          <w:sz w:val="15"/>
          <w:szCs w:val="15"/>
        </w:rPr>
        <w:t>2001</w:t>
      </w:r>
      <w:r w:rsidRPr="00252DD4">
        <w:rPr>
          <w:sz w:val="15"/>
          <w:szCs w:val="15"/>
        </w:rPr>
        <w:t xml:space="preserve">, </w:t>
      </w:r>
      <w:r w:rsidRPr="00252DD4">
        <w:rPr>
          <w:i/>
          <w:sz w:val="15"/>
          <w:szCs w:val="15"/>
        </w:rPr>
        <w:t>356</w:t>
      </w:r>
      <w:r w:rsidRPr="00252DD4">
        <w:rPr>
          <w:sz w:val="15"/>
          <w:szCs w:val="15"/>
        </w:rPr>
        <w:t>, 423-432.</w:t>
      </w:r>
      <w:r w:rsidR="005973B9" w:rsidRPr="00252DD4">
        <w:rPr>
          <w:sz w:val="15"/>
          <w:szCs w:val="15"/>
        </w:rPr>
        <w:t xml:space="preserve">Harper C (2009) </w:t>
      </w:r>
    </w:p>
    <w:p w:rsidR="00AE3E37" w:rsidRPr="00252DD4" w:rsidRDefault="008756E6" w:rsidP="00252DD4">
      <w:pPr>
        <w:contextualSpacing/>
        <w:jc w:val="both"/>
        <w:rPr>
          <w:sz w:val="14"/>
          <w:szCs w:val="14"/>
        </w:rPr>
        <w:sectPr w:rsidR="00AE3E37" w:rsidRPr="00252DD4">
          <w:type w:val="continuous"/>
          <w:pgSz w:w="11910" w:h="16840"/>
          <w:pgMar w:top="1740" w:right="600" w:bottom="840" w:left="620" w:header="720" w:footer="720" w:gutter="0"/>
          <w:cols w:num="2" w:space="720" w:equalWidth="0">
            <w:col w:w="5214" w:space="138"/>
            <w:col w:w="5338"/>
          </w:cols>
        </w:sectPr>
      </w:pPr>
      <w:r w:rsidRPr="00252DD4">
        <w:rPr>
          <w:sz w:val="14"/>
          <w:szCs w:val="14"/>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23A2C01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C6F7A">
        <w:rPr>
          <w:noProof/>
        </w:rPr>
        <w:t xml:space="preserve"> </w:t>
      </w:r>
      <w:r w:rsidR="0031799F">
        <w:rPr>
          <w:noProof/>
        </w:rPr>
        <w:drawing>
          <wp:inline distT="0" distB="0" distL="0" distR="0" wp14:anchorId="4C31ACB6" wp14:editId="28BBAACB">
            <wp:extent cx="569253" cy="645294"/>
            <wp:effectExtent l="0" t="0" r="2540" b="2540"/>
            <wp:docPr id="2" name="Picture 2" descr="Bruce Hud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uce Hudson"/>
                    <pic:cNvPicPr>
                      <a:picLocks noChangeAspect="1" noChangeArrowheads="1"/>
                    </pic:cNvPicPr>
                  </pic:nvPicPr>
                  <pic:blipFill rotWithShape="1">
                    <a:blip r:embed="rId13">
                      <a:extLst>
                        <a:ext uri="{28A0092B-C50C-407E-A947-70E740481C1C}">
                          <a14:useLocalDpi xmlns:a14="http://schemas.microsoft.com/office/drawing/2010/main" val="0"/>
                        </a:ext>
                      </a:extLst>
                    </a:blip>
                    <a:srcRect l="29385" t="21311" r="29327" b="40653"/>
                    <a:stretch/>
                  </pic:blipFill>
                  <pic:spPr bwMode="auto">
                    <a:xfrm>
                      <a:off x="0" y="0"/>
                      <a:ext cx="569253" cy="645294"/>
                    </a:xfrm>
                    <a:prstGeom prst="rect">
                      <a:avLst/>
                    </a:prstGeom>
                    <a:noFill/>
                    <a:ln>
                      <a:noFill/>
                    </a:ln>
                    <a:extLst>
                      <a:ext uri="{53640926-AAD7-44D8-BBD7-CCE9431645EC}">
                        <a14:shadowObscured xmlns:a14="http://schemas.microsoft.com/office/drawing/2010/main"/>
                      </a:ext>
                    </a:extLst>
                  </pic:spPr>
                </pic:pic>
              </a:graphicData>
            </a:graphic>
          </wp:inline>
        </w:drawing>
      </w:r>
      <w:r w:rsidR="00B0246E">
        <w:rPr>
          <w:noProof/>
        </w:rPr>
        <w:t xml:space="preserve">  </w:t>
      </w:r>
      <w:r w:rsidR="00A9710C">
        <w:rPr>
          <w:rFonts w:ascii="Arial"/>
          <w:color w:val="BF5A14"/>
        </w:rPr>
        <w:t>Biography</w:t>
      </w:r>
      <w:r w:rsidR="00404E5B">
        <w:rPr>
          <w:rFonts w:ascii="Arial"/>
          <w:color w:val="BF5A14"/>
        </w:rPr>
        <w:t xml:space="preserve"> (150 word limit)</w:t>
      </w:r>
    </w:p>
    <w:p w:rsidR="00676B4F" w:rsidRPr="00252DD4" w:rsidRDefault="00676B4F" w:rsidP="004C6F7A">
      <w:pPr>
        <w:spacing w:before="62"/>
        <w:ind w:left="360" w:right="1060" w:firstLine="90"/>
        <w:rPr>
          <w:sz w:val="14"/>
        </w:rPr>
      </w:pPr>
      <w:r w:rsidRPr="00252DD4">
        <w:rPr>
          <w:sz w:val="14"/>
        </w:rPr>
        <w:t xml:space="preserve">Bruce </w:t>
      </w:r>
      <w:r w:rsidR="0031799F" w:rsidRPr="00252DD4">
        <w:rPr>
          <w:sz w:val="14"/>
        </w:rPr>
        <w:t xml:space="preserve">S. </w:t>
      </w:r>
      <w:r w:rsidRPr="00252DD4">
        <w:rPr>
          <w:sz w:val="14"/>
        </w:rPr>
        <w:t xml:space="preserve">Hudson received his Bachelors and </w:t>
      </w:r>
      <w:proofErr w:type="spellStart"/>
      <w:r w:rsidRPr="00252DD4">
        <w:rPr>
          <w:sz w:val="14"/>
        </w:rPr>
        <w:t>Masters</w:t>
      </w:r>
      <w:proofErr w:type="spellEnd"/>
      <w:r w:rsidRPr="00252DD4">
        <w:rPr>
          <w:sz w:val="14"/>
        </w:rPr>
        <w:t xml:space="preserve"> degrees</w:t>
      </w:r>
      <w:r w:rsidR="004C6F7A" w:rsidRPr="00252DD4">
        <w:rPr>
          <w:sz w:val="14"/>
        </w:rPr>
        <w:t xml:space="preserve"> in biophysical chemistry</w:t>
      </w:r>
      <w:r w:rsidRPr="00252DD4">
        <w:rPr>
          <w:sz w:val="14"/>
        </w:rPr>
        <w:t xml:space="preserve"> from the California Institute of Technology in </w:t>
      </w:r>
      <w:r w:rsidR="004C6F7A" w:rsidRPr="00252DD4">
        <w:rPr>
          <w:sz w:val="14"/>
        </w:rPr>
        <w:t>Pasadena, California and his Ph</w:t>
      </w:r>
      <w:r w:rsidRPr="00252DD4">
        <w:rPr>
          <w:sz w:val="14"/>
        </w:rPr>
        <w:t xml:space="preserve">D degree </w:t>
      </w:r>
      <w:r w:rsidR="004C6F7A" w:rsidRPr="00252DD4">
        <w:rPr>
          <w:sz w:val="14"/>
        </w:rPr>
        <w:t xml:space="preserve">in Physical Chemistry </w:t>
      </w:r>
      <w:r w:rsidRPr="00252DD4">
        <w:rPr>
          <w:sz w:val="14"/>
        </w:rPr>
        <w:t xml:space="preserve">from Harvard University where he </w:t>
      </w:r>
      <w:r w:rsidR="004C6F7A" w:rsidRPr="00252DD4">
        <w:rPr>
          <w:sz w:val="14"/>
        </w:rPr>
        <w:t>worked for Bryan E. Kohler on the peculiar electronic spectroscopy of linear conjugated polyenes. As part of his PhD thesis he proposed that the lowest excited electronic state of linear polyenes has the same symmetry as the ground electronic state</w:t>
      </w:r>
      <w:r w:rsidR="0031799F" w:rsidRPr="00252DD4">
        <w:rPr>
          <w:sz w:val="14"/>
        </w:rPr>
        <w:t xml:space="preserve"> involving doubly excited configurations</w:t>
      </w:r>
      <w:r w:rsidR="004C6F7A" w:rsidRPr="00252DD4">
        <w:rPr>
          <w:sz w:val="14"/>
        </w:rPr>
        <w:t>.</w:t>
      </w:r>
      <w:r w:rsidR="0031799F" w:rsidRPr="00252DD4">
        <w:rPr>
          <w:sz w:val="14"/>
        </w:rPr>
        <w:t xml:space="preserve"> It is the merging of this excited state with the ground state for very long linear polyenes that gives rise to the double minimum potential of polyacetylene. He is a fellow of the American Physical Society </w:t>
      </w:r>
    </w:p>
    <w:p w:rsidR="00AE3E37" w:rsidRPr="00252DD4" w:rsidRDefault="004C6F7A">
      <w:pPr>
        <w:spacing w:before="62"/>
        <w:ind w:left="4217" w:right="4235"/>
        <w:jc w:val="center"/>
        <w:rPr>
          <w:sz w:val="14"/>
        </w:rPr>
      </w:pPr>
      <w:r w:rsidRPr="00252DD4">
        <w:rPr>
          <w:sz w:val="14"/>
        </w:rPr>
        <w:t>Email: bshudson@syr.edu</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CE9D0D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970" w:rsidRDefault="00DD2970">
      <w:r>
        <w:separator/>
      </w:r>
    </w:p>
  </w:endnote>
  <w:endnote w:type="continuationSeparator" w:id="0">
    <w:p w:rsidR="00DD2970" w:rsidRDefault="00DD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970" w:rsidRDefault="00DD2970">
      <w:r>
        <w:separator/>
      </w:r>
    </w:p>
  </w:footnote>
  <w:footnote w:type="continuationSeparator" w:id="0">
    <w:p w:rsidR="00DD2970" w:rsidRDefault="00DD29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52DD4"/>
    <w:rsid w:val="00292ED9"/>
    <w:rsid w:val="0031799F"/>
    <w:rsid w:val="00404E5B"/>
    <w:rsid w:val="00414F7B"/>
    <w:rsid w:val="004355DC"/>
    <w:rsid w:val="004451AC"/>
    <w:rsid w:val="004749B4"/>
    <w:rsid w:val="00494130"/>
    <w:rsid w:val="004C6F7A"/>
    <w:rsid w:val="004F3523"/>
    <w:rsid w:val="005973B9"/>
    <w:rsid w:val="005B3A56"/>
    <w:rsid w:val="006004CB"/>
    <w:rsid w:val="006060CE"/>
    <w:rsid w:val="0063497F"/>
    <w:rsid w:val="00673706"/>
    <w:rsid w:val="00676B4F"/>
    <w:rsid w:val="006C06AF"/>
    <w:rsid w:val="00736458"/>
    <w:rsid w:val="00873DF0"/>
    <w:rsid w:val="008756E6"/>
    <w:rsid w:val="009B2D44"/>
    <w:rsid w:val="00A07E82"/>
    <w:rsid w:val="00A9710C"/>
    <w:rsid w:val="00AE3E37"/>
    <w:rsid w:val="00B0246E"/>
    <w:rsid w:val="00B06EBC"/>
    <w:rsid w:val="00B21A57"/>
    <w:rsid w:val="00B5255C"/>
    <w:rsid w:val="00B55EED"/>
    <w:rsid w:val="00C33602"/>
    <w:rsid w:val="00C76975"/>
    <w:rsid w:val="00CD6F55"/>
    <w:rsid w:val="00CF5BD3"/>
    <w:rsid w:val="00DD2970"/>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D492C3-1167-409F-A2D2-8E1CD406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EndnoteText">
    <w:name w:val="endnote text"/>
    <w:basedOn w:val="Normal"/>
    <w:link w:val="EndnoteTextChar"/>
    <w:uiPriority w:val="99"/>
    <w:unhideWhenUsed/>
    <w:qFormat/>
    <w:rsid w:val="006C06AF"/>
    <w:pPr>
      <w:widowControl/>
    </w:pPr>
    <w:rPr>
      <w:rFonts w:ascii="Arial" w:eastAsia="Times New Roman" w:hAnsi="Arial" w:cs="Times New Roman"/>
      <w:color w:val="000000"/>
      <w:sz w:val="20"/>
      <w:szCs w:val="20"/>
    </w:rPr>
  </w:style>
  <w:style w:type="character" w:customStyle="1" w:styleId="EndnoteTextChar">
    <w:name w:val="Endnote Text Char"/>
    <w:basedOn w:val="DefaultParagraphFont"/>
    <w:link w:val="EndnoteText"/>
    <w:uiPriority w:val="99"/>
    <w:rsid w:val="006C06AF"/>
    <w:rPr>
      <w:rFonts w:ascii="Arial" w:eastAsia="Times New Roman" w:hAnsi="Arial" w:cs="Times New Roman"/>
      <w:color w:val="000000"/>
      <w:sz w:val="20"/>
      <w:szCs w:val="20"/>
    </w:rPr>
  </w:style>
  <w:style w:type="character" w:styleId="EndnoteReference">
    <w:name w:val="endnote reference"/>
    <w:uiPriority w:val="99"/>
    <w:semiHidden/>
    <w:unhideWhenUsed/>
    <w:qFormat/>
    <w:rsid w:val="006C06AF"/>
    <w:rPr>
      <w:vertAlign w:val="superscript"/>
    </w:rPr>
  </w:style>
  <w:style w:type="character" w:styleId="Emphasis">
    <w:name w:val="Emphasis"/>
    <w:basedOn w:val="DefaultParagraphFont"/>
    <w:uiPriority w:val="20"/>
    <w:qFormat/>
    <w:rsid w:val="006C06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3390/ma110202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dpi.com/1996-1944/11/2/242/pdf" TargetMode="External"/><Relationship Id="rId4" Type="http://schemas.openxmlformats.org/officeDocument/2006/relationships/webSettings" Target="webSettings.xml"/><Relationship Id="rId9" Type="http://schemas.openxmlformats.org/officeDocument/2006/relationships/hyperlink" Target="http://www.mdpi.com/1996-1944/11/2/242/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Bruce</cp:lastModifiedBy>
  <cp:revision>2</cp:revision>
  <dcterms:created xsi:type="dcterms:W3CDTF">2018-03-01T08:45:00Z</dcterms:created>
  <dcterms:modified xsi:type="dcterms:W3CDTF">2018-03-01T08:45:00Z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