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F5297" w14:textId="77777777" w:rsidR="00A92FFF" w:rsidRDefault="00A92FFF" w:rsidP="00A92FFF">
      <w:pPr>
        <w:jc w:val="center"/>
        <w:rPr>
          <w:rFonts w:ascii="Times New Roman" w:hAnsi="Times New Roman" w:cs="Times New Roman"/>
          <w:b/>
          <w:sz w:val="32"/>
          <w:szCs w:val="32"/>
        </w:rPr>
      </w:pPr>
      <w:r>
        <w:rPr>
          <w:rFonts w:ascii="Times New Roman" w:hAnsi="Times New Roman" w:cs="Times New Roman"/>
          <w:b/>
          <w:sz w:val="32"/>
          <w:szCs w:val="32"/>
        </w:rPr>
        <w:t>Mechanistic insights to the solid-gas interaction</w:t>
      </w:r>
      <w:r w:rsidR="00780736">
        <w:rPr>
          <w:rFonts w:ascii="Times New Roman" w:hAnsi="Times New Roman" w:cs="Times New Roman"/>
          <w:b/>
          <w:sz w:val="32"/>
          <w:szCs w:val="32"/>
        </w:rPr>
        <w:t>s</w:t>
      </w:r>
      <w:r>
        <w:rPr>
          <w:rFonts w:ascii="Times New Roman" w:hAnsi="Times New Roman" w:cs="Times New Roman"/>
          <w:b/>
          <w:sz w:val="32"/>
          <w:szCs w:val="32"/>
        </w:rPr>
        <w:t xml:space="preserve"> of oxides </w:t>
      </w:r>
      <w:r w:rsidR="00780736">
        <w:rPr>
          <w:rFonts w:ascii="Times New Roman" w:hAnsi="Times New Roman" w:cs="Times New Roman"/>
          <w:b/>
          <w:sz w:val="32"/>
          <w:szCs w:val="32"/>
        </w:rPr>
        <w:t>from</w:t>
      </w:r>
    </w:p>
    <w:p w14:paraId="38E06EA8" w14:textId="77777777" w:rsidR="00284D7A" w:rsidRDefault="00A92FFF" w:rsidP="00A92FFF">
      <w:pPr>
        <w:jc w:val="center"/>
        <w:rPr>
          <w:rFonts w:ascii="Times New Roman" w:hAnsi="Times New Roman" w:cs="Times New Roman"/>
          <w:b/>
          <w:sz w:val="32"/>
          <w:szCs w:val="32"/>
        </w:rPr>
      </w:pPr>
      <w:r>
        <w:rPr>
          <w:rFonts w:ascii="Times New Roman" w:hAnsi="Times New Roman" w:cs="Times New Roman"/>
          <w:b/>
          <w:sz w:val="32"/>
          <w:szCs w:val="32"/>
        </w:rPr>
        <w:t>advanced spectroscopi</w:t>
      </w:r>
      <w:r w:rsidR="00780736">
        <w:rPr>
          <w:rFonts w:ascii="Times New Roman" w:hAnsi="Times New Roman" w:cs="Times New Roman"/>
          <w:b/>
          <w:sz w:val="32"/>
          <w:szCs w:val="32"/>
        </w:rPr>
        <w:t>c methods</w:t>
      </w:r>
    </w:p>
    <w:p w14:paraId="1501E9FE" w14:textId="77777777" w:rsidR="00A92FFF" w:rsidRPr="007964D9" w:rsidRDefault="00A92FFF" w:rsidP="00A92FFF">
      <w:pPr>
        <w:jc w:val="center"/>
        <w:rPr>
          <w:rFonts w:ascii="Times New Roman" w:hAnsi="Times New Roman" w:cs="Times New Roman"/>
          <w:i/>
          <w:sz w:val="24"/>
          <w:szCs w:val="24"/>
          <w:vertAlign w:val="superscript"/>
        </w:rPr>
      </w:pPr>
      <w:r>
        <w:rPr>
          <w:rFonts w:ascii="Times New Roman" w:hAnsi="Times New Roman" w:cs="Times New Roman"/>
          <w:i/>
          <w:sz w:val="24"/>
          <w:szCs w:val="24"/>
        </w:rPr>
        <w:t>David N. Mueller</w:t>
      </w:r>
      <w:r w:rsidR="007964D9">
        <w:rPr>
          <w:rFonts w:ascii="Times New Roman" w:hAnsi="Times New Roman" w:cs="Times New Roman"/>
          <w:i/>
          <w:sz w:val="24"/>
          <w:szCs w:val="24"/>
          <w:vertAlign w:val="superscript"/>
        </w:rPr>
        <w:t>(a)</w:t>
      </w:r>
      <w:r>
        <w:rPr>
          <w:rFonts w:ascii="Times New Roman" w:hAnsi="Times New Roman" w:cs="Times New Roman"/>
          <w:i/>
          <w:sz w:val="24"/>
          <w:szCs w:val="24"/>
        </w:rPr>
        <w:t xml:space="preserve">, F. </w:t>
      </w:r>
      <w:r w:rsidR="007964D9">
        <w:rPr>
          <w:rFonts w:ascii="Times New Roman" w:hAnsi="Times New Roman" w:cs="Times New Roman"/>
          <w:i/>
          <w:sz w:val="24"/>
          <w:szCs w:val="24"/>
        </w:rPr>
        <w:t>Gunke</w:t>
      </w:r>
      <w:r w:rsidRPr="007964D9">
        <w:rPr>
          <w:rFonts w:ascii="Times New Roman" w:hAnsi="Times New Roman" w:cs="Times New Roman"/>
          <w:i/>
          <w:sz w:val="24"/>
          <w:szCs w:val="24"/>
        </w:rPr>
        <w:t>l</w:t>
      </w:r>
      <w:r w:rsidR="007964D9">
        <w:rPr>
          <w:rFonts w:ascii="Times New Roman" w:hAnsi="Times New Roman" w:cs="Times New Roman"/>
          <w:i/>
          <w:sz w:val="24"/>
          <w:szCs w:val="24"/>
          <w:vertAlign w:val="superscript"/>
        </w:rPr>
        <w:t>(a,b)</w:t>
      </w:r>
      <w:r>
        <w:rPr>
          <w:rFonts w:ascii="Times New Roman" w:hAnsi="Times New Roman" w:cs="Times New Roman"/>
          <w:i/>
          <w:sz w:val="24"/>
          <w:szCs w:val="24"/>
        </w:rPr>
        <w:t xml:space="preserve">. S. </w:t>
      </w:r>
      <w:r w:rsidR="004916D9" w:rsidRPr="004916D9">
        <w:rPr>
          <w:rFonts w:ascii="Times New Roman" w:hAnsi="Times New Roman" w:cs="Times New Roman"/>
          <w:i/>
          <w:sz w:val="24"/>
          <w:szCs w:val="24"/>
        </w:rPr>
        <w:t>Nemšák</w:t>
      </w:r>
      <w:r w:rsidR="007964D9">
        <w:rPr>
          <w:rFonts w:ascii="Times New Roman" w:hAnsi="Times New Roman" w:cs="Times New Roman"/>
          <w:i/>
          <w:sz w:val="24"/>
          <w:szCs w:val="24"/>
          <w:vertAlign w:val="superscript"/>
        </w:rPr>
        <w:t>(a)</w:t>
      </w:r>
      <w:r>
        <w:rPr>
          <w:rFonts w:ascii="Times New Roman" w:hAnsi="Times New Roman" w:cs="Times New Roman"/>
          <w:i/>
          <w:sz w:val="24"/>
          <w:szCs w:val="24"/>
        </w:rPr>
        <w:t>, C. M. Schneider</w:t>
      </w:r>
      <w:r w:rsidR="007964D9">
        <w:rPr>
          <w:rFonts w:ascii="Times New Roman" w:hAnsi="Times New Roman" w:cs="Times New Roman"/>
          <w:i/>
          <w:sz w:val="24"/>
          <w:szCs w:val="24"/>
          <w:vertAlign w:val="superscript"/>
        </w:rPr>
        <w:t>(a)</w:t>
      </w:r>
      <w:r>
        <w:rPr>
          <w:rFonts w:ascii="Times New Roman" w:hAnsi="Times New Roman" w:cs="Times New Roman"/>
          <w:i/>
          <w:sz w:val="24"/>
          <w:szCs w:val="24"/>
        </w:rPr>
        <w:t xml:space="preserve">, </w:t>
      </w:r>
      <w:bookmarkStart w:id="0" w:name="_GoBack"/>
      <w:r w:rsidRPr="00517E6D">
        <w:rPr>
          <w:rFonts w:ascii="Times New Roman" w:hAnsi="Times New Roman" w:cs="Times New Roman"/>
          <w:i/>
          <w:sz w:val="24"/>
          <w:szCs w:val="24"/>
          <w:u w:val="single"/>
        </w:rPr>
        <w:t>R. Waser</w:t>
      </w:r>
      <w:bookmarkEnd w:id="0"/>
      <w:r w:rsidR="007964D9">
        <w:rPr>
          <w:rFonts w:ascii="Times New Roman" w:hAnsi="Times New Roman" w:cs="Times New Roman"/>
          <w:i/>
          <w:sz w:val="24"/>
          <w:szCs w:val="24"/>
          <w:vertAlign w:val="superscript"/>
        </w:rPr>
        <w:t>(a,b)</w:t>
      </w:r>
    </w:p>
    <w:p w14:paraId="057A6947" w14:textId="77777777" w:rsidR="007964D9" w:rsidRDefault="007964D9" w:rsidP="00A92FFF">
      <w:pPr>
        <w:jc w:val="center"/>
        <w:rPr>
          <w:rFonts w:ascii="Times New Roman" w:hAnsi="Times New Roman" w:cs="Times New Roman"/>
          <w:i/>
          <w:sz w:val="24"/>
          <w:szCs w:val="24"/>
        </w:rPr>
      </w:pPr>
    </w:p>
    <w:p w14:paraId="44257E84" w14:textId="77777777" w:rsidR="007964D9" w:rsidRDefault="007964D9" w:rsidP="007964D9">
      <w:pPr>
        <w:pStyle w:val="authoraffiliation"/>
        <w:rPr>
          <w:i w:val="0"/>
          <w:sz w:val="24"/>
          <w:szCs w:val="24"/>
          <w:lang w:val="en-GB"/>
        </w:rPr>
      </w:pPr>
      <w:r w:rsidRPr="003A59D6">
        <w:rPr>
          <w:i w:val="0"/>
          <w:sz w:val="24"/>
          <w:szCs w:val="24"/>
          <w:vertAlign w:val="superscript"/>
          <w:lang w:val="en-GB"/>
        </w:rPr>
        <w:t>(a)</w:t>
      </w:r>
      <w:r w:rsidRPr="003A59D6">
        <w:rPr>
          <w:i w:val="0"/>
          <w:sz w:val="24"/>
          <w:szCs w:val="24"/>
          <w:lang w:val="en-GB"/>
        </w:rPr>
        <w:t>Peter Gruenberg Institute, Research Center Juelich GmbH, Juelich 52425, Germany</w:t>
      </w:r>
    </w:p>
    <w:p w14:paraId="6D7370DB" w14:textId="77777777" w:rsidR="007964D9" w:rsidRPr="003A59D6" w:rsidRDefault="007964D9" w:rsidP="007964D9">
      <w:pPr>
        <w:autoSpaceDE w:val="0"/>
        <w:autoSpaceDN w:val="0"/>
        <w:adjustRightInd w:val="0"/>
        <w:spacing w:line="240" w:lineRule="auto"/>
        <w:jc w:val="center"/>
        <w:rPr>
          <w:rFonts w:ascii="Times New Roman" w:hAnsi="Times New Roman" w:cs="Times New Roman"/>
          <w:sz w:val="24"/>
          <w:szCs w:val="24"/>
          <w:lang w:val="fr-FR" w:eastAsia="en-GB"/>
        </w:rPr>
      </w:pPr>
      <w:r>
        <w:rPr>
          <w:rFonts w:ascii="Times New Roman" w:hAnsi="Times New Roman" w:cs="Times New Roman"/>
          <w:sz w:val="24"/>
          <w:szCs w:val="24"/>
          <w:vertAlign w:val="superscript"/>
          <w:lang w:val="fr-FR" w:eastAsia="en-GB"/>
        </w:rPr>
        <w:t>(b)</w:t>
      </w:r>
      <w:r w:rsidRPr="003A59D6">
        <w:rPr>
          <w:rFonts w:ascii="Times New Roman" w:hAnsi="Times New Roman" w:cs="Times New Roman"/>
          <w:sz w:val="24"/>
          <w:szCs w:val="24"/>
          <w:lang w:val="fr-FR" w:eastAsia="en-GB"/>
        </w:rPr>
        <w:t>Institute of Electronic Materials (IWE2), RWTH Aachen University, Aachen 52074, Germany</w:t>
      </w:r>
    </w:p>
    <w:p w14:paraId="00BD78C6" w14:textId="77777777" w:rsidR="007964D9" w:rsidRDefault="007964D9" w:rsidP="007964D9">
      <w:pPr>
        <w:spacing w:after="0" w:line="240" w:lineRule="auto"/>
        <w:jc w:val="both"/>
        <w:rPr>
          <w:rFonts w:ascii="Times New Roman" w:hAnsi="Times New Roman" w:cs="Times New Roman"/>
          <w:sz w:val="24"/>
          <w:szCs w:val="24"/>
        </w:rPr>
      </w:pPr>
    </w:p>
    <w:p w14:paraId="7FCEF71A" w14:textId="77777777" w:rsidR="007964D9" w:rsidRPr="007964D9" w:rsidRDefault="007964D9" w:rsidP="00A92FFF">
      <w:pPr>
        <w:jc w:val="center"/>
        <w:rPr>
          <w:rFonts w:ascii="Times New Roman" w:hAnsi="Times New Roman" w:cs="Times New Roman"/>
          <w:sz w:val="24"/>
          <w:szCs w:val="24"/>
        </w:rPr>
      </w:pPr>
    </w:p>
    <w:p w14:paraId="41EAA2F9" w14:textId="77777777" w:rsidR="00A92FFF" w:rsidRDefault="00A92FFF" w:rsidP="00A92FFF">
      <w:pPr>
        <w:jc w:val="center"/>
        <w:rPr>
          <w:rFonts w:ascii="Times New Roman" w:hAnsi="Times New Roman" w:cs="Times New Roman"/>
          <w:i/>
          <w:sz w:val="24"/>
          <w:szCs w:val="24"/>
        </w:rPr>
      </w:pPr>
    </w:p>
    <w:p w14:paraId="617AF981" w14:textId="77777777" w:rsidR="00A92FFF" w:rsidRDefault="00A92FFF" w:rsidP="00A92FFF">
      <w:pPr>
        <w:rPr>
          <w:rFonts w:ascii="Times New Roman" w:hAnsi="Times New Roman" w:cs="Times New Roman"/>
          <w:sz w:val="24"/>
          <w:szCs w:val="24"/>
        </w:rPr>
      </w:pPr>
      <w:r>
        <w:rPr>
          <w:rFonts w:ascii="Times New Roman" w:hAnsi="Times New Roman" w:cs="Times New Roman"/>
          <w:sz w:val="24"/>
          <w:szCs w:val="24"/>
        </w:rPr>
        <w:t xml:space="preserve">The fascinating and useful properties of oxides are in many instances connected to their interaction with liquids or gases at the phase boundary, the latter especially at elevated temperatures, leading to ubiquitous use-cases such as (electro-)catalysis in energy conversion or gas sensing devices. </w:t>
      </w:r>
    </w:p>
    <w:p w14:paraId="45C2BBE7" w14:textId="44E32B55" w:rsidR="00A92FFF" w:rsidRDefault="00A92FFF" w:rsidP="00A92FFF">
      <w:pPr>
        <w:rPr>
          <w:rFonts w:ascii="Times New Roman" w:hAnsi="Times New Roman" w:cs="Times New Roman"/>
          <w:sz w:val="24"/>
          <w:szCs w:val="24"/>
        </w:rPr>
      </w:pPr>
      <w:r>
        <w:rPr>
          <w:rFonts w:ascii="Times New Roman" w:hAnsi="Times New Roman" w:cs="Times New Roman"/>
          <w:sz w:val="24"/>
          <w:szCs w:val="24"/>
        </w:rPr>
        <w:t xml:space="preserve">Though the bulk properties of </w:t>
      </w:r>
      <w:r w:rsidR="00780736">
        <w:rPr>
          <w:rFonts w:ascii="Times New Roman" w:hAnsi="Times New Roman" w:cs="Times New Roman"/>
          <w:sz w:val="24"/>
          <w:szCs w:val="24"/>
        </w:rPr>
        <w:t>simple oxides such as CeO</w:t>
      </w:r>
      <w:r w:rsidR="00780736">
        <w:rPr>
          <w:rFonts w:ascii="Times New Roman" w:hAnsi="Times New Roman" w:cs="Times New Roman"/>
          <w:sz w:val="24"/>
          <w:szCs w:val="24"/>
          <w:vertAlign w:val="subscript"/>
        </w:rPr>
        <w:t>2</w:t>
      </w:r>
      <w:r w:rsidR="00780736">
        <w:rPr>
          <w:rFonts w:ascii="Times New Roman" w:hAnsi="Times New Roman" w:cs="Times New Roman"/>
          <w:sz w:val="24"/>
          <w:szCs w:val="24"/>
        </w:rPr>
        <w:t xml:space="preserve"> and SrTiO</w:t>
      </w:r>
      <w:r w:rsidR="00780736">
        <w:rPr>
          <w:rFonts w:ascii="Times New Roman" w:hAnsi="Times New Roman" w:cs="Times New Roman"/>
          <w:sz w:val="24"/>
          <w:szCs w:val="24"/>
          <w:vertAlign w:val="subscript"/>
        </w:rPr>
        <w:t>3</w:t>
      </w:r>
      <w:r w:rsidR="00780736">
        <w:rPr>
          <w:rFonts w:ascii="Times New Roman" w:hAnsi="Times New Roman" w:cs="Times New Roman"/>
          <w:sz w:val="24"/>
          <w:szCs w:val="24"/>
        </w:rPr>
        <w:t xml:space="preserve"> are well studied and understood, the surface processes </w:t>
      </w:r>
      <w:r w:rsidR="002E11D1">
        <w:rPr>
          <w:rFonts w:ascii="Times New Roman" w:hAnsi="Times New Roman" w:cs="Times New Roman"/>
          <w:sz w:val="24"/>
          <w:szCs w:val="24"/>
        </w:rPr>
        <w:t xml:space="preserve">taking place </w:t>
      </w:r>
      <w:r w:rsidR="00780736">
        <w:rPr>
          <w:rFonts w:ascii="Times New Roman" w:hAnsi="Times New Roman" w:cs="Times New Roman"/>
          <w:sz w:val="24"/>
          <w:szCs w:val="24"/>
        </w:rPr>
        <w:t xml:space="preserve">when exposed to reactive gases are less readily accessible. Through the advent of spectroscopic methods such as X-Ray photoelectron and absorption spectroscopies in their high pressure and temperature variants, these tools, formerly confined to ultra-high vacuum conditions, can now be used to investigate surface reactions </w:t>
      </w:r>
      <w:r w:rsidR="00780736">
        <w:rPr>
          <w:rFonts w:ascii="Times New Roman" w:hAnsi="Times New Roman" w:cs="Times New Roman"/>
          <w:i/>
          <w:sz w:val="24"/>
          <w:szCs w:val="24"/>
        </w:rPr>
        <w:t>in situ</w:t>
      </w:r>
      <w:r w:rsidR="00780736">
        <w:rPr>
          <w:rFonts w:ascii="Times New Roman" w:hAnsi="Times New Roman" w:cs="Times New Roman"/>
          <w:sz w:val="24"/>
          <w:szCs w:val="24"/>
        </w:rPr>
        <w:t xml:space="preserve"> and in real time. </w:t>
      </w:r>
    </w:p>
    <w:p w14:paraId="5AAF784A" w14:textId="77777777" w:rsidR="00780736" w:rsidRDefault="00780736" w:rsidP="00A92FFF">
      <w:pPr>
        <w:rPr>
          <w:rFonts w:ascii="Times New Roman" w:hAnsi="Times New Roman" w:cs="Times New Roman"/>
          <w:sz w:val="24"/>
          <w:szCs w:val="24"/>
        </w:rPr>
      </w:pPr>
      <w:r>
        <w:rPr>
          <w:rFonts w:ascii="Times New Roman" w:hAnsi="Times New Roman" w:cs="Times New Roman"/>
          <w:sz w:val="24"/>
          <w:szCs w:val="24"/>
        </w:rPr>
        <w:t xml:space="preserve">In a first example, ceria was found to exhibit a strong dependence of catalytic activity on the exposed crystallographic facets. With an </w:t>
      </w:r>
      <w:r>
        <w:rPr>
          <w:rFonts w:ascii="Times New Roman" w:hAnsi="Times New Roman" w:cs="Times New Roman"/>
          <w:i/>
          <w:sz w:val="24"/>
          <w:szCs w:val="24"/>
        </w:rPr>
        <w:t>in situ</w:t>
      </w:r>
      <w:r>
        <w:rPr>
          <w:rFonts w:ascii="Times New Roman" w:hAnsi="Times New Roman" w:cs="Times New Roman"/>
          <w:sz w:val="24"/>
          <w:szCs w:val="24"/>
        </w:rPr>
        <w:t xml:space="preserve"> spectromicroscopic approach we could show that this dependence has rather thermodynamic than kinetic reasons. In a second example, the space charge layer formation in donor doped SrTiO</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007E23CF">
        <w:rPr>
          <w:rFonts w:ascii="Times New Roman" w:hAnsi="Times New Roman" w:cs="Times New Roman"/>
          <w:sz w:val="24"/>
          <w:szCs w:val="24"/>
        </w:rPr>
        <w:t>at elevated pressure</w:t>
      </w:r>
      <w:r w:rsidR="004916D9">
        <w:rPr>
          <w:rFonts w:ascii="Times New Roman" w:hAnsi="Times New Roman" w:cs="Times New Roman"/>
          <w:sz w:val="24"/>
          <w:szCs w:val="24"/>
        </w:rPr>
        <w:t>s</w:t>
      </w:r>
      <w:r w:rsidR="007E23CF">
        <w:rPr>
          <w:rFonts w:ascii="Times New Roman" w:hAnsi="Times New Roman" w:cs="Times New Roman"/>
          <w:sz w:val="24"/>
          <w:szCs w:val="24"/>
        </w:rPr>
        <w:t xml:space="preserve"> and temperature</w:t>
      </w:r>
      <w:r w:rsidR="004916D9">
        <w:rPr>
          <w:rFonts w:ascii="Times New Roman" w:hAnsi="Times New Roman" w:cs="Times New Roman"/>
          <w:sz w:val="24"/>
          <w:szCs w:val="24"/>
        </w:rPr>
        <w:t>s</w:t>
      </w:r>
      <w:r w:rsidR="007E23CF">
        <w:rPr>
          <w:rFonts w:ascii="Times New Roman" w:hAnsi="Times New Roman" w:cs="Times New Roman"/>
          <w:sz w:val="24"/>
          <w:szCs w:val="24"/>
        </w:rPr>
        <w:t xml:space="preserve"> will be investigated. Here, the electronic and ionic rearrangements are responsive to the oxygen partial pressure, </w:t>
      </w:r>
      <w:r w:rsidR="004916D9">
        <w:rPr>
          <w:rFonts w:ascii="Times New Roman" w:hAnsi="Times New Roman" w:cs="Times New Roman"/>
          <w:sz w:val="24"/>
          <w:szCs w:val="24"/>
        </w:rPr>
        <w:t xml:space="preserve">but are confined to the first tens of nanometers of the surface, making the use of ambient pressure spectroscopy a necessity. Quantitative assessment of the spectroscopic response to the oxygen ambiance in conjunction with electrical measurements </w:t>
      </w:r>
      <w:r w:rsidR="004916D9" w:rsidRPr="004916D9">
        <w:rPr>
          <w:rFonts w:ascii="Times New Roman" w:hAnsi="Times New Roman" w:cs="Times New Roman"/>
          <w:sz w:val="24"/>
          <w:szCs w:val="24"/>
        </w:rPr>
        <w:t>show a behavior in accordance with the surface oxidation model recently put forth</w:t>
      </w:r>
      <w:r w:rsidR="004916D9">
        <w:rPr>
          <w:rFonts w:ascii="Times New Roman" w:hAnsi="Times New Roman" w:cs="Times New Roman"/>
          <w:sz w:val="24"/>
          <w:szCs w:val="24"/>
        </w:rPr>
        <w:t>.</w:t>
      </w:r>
      <w:r w:rsidR="004916D9">
        <w:rPr>
          <w:rFonts w:ascii="Times New Roman" w:hAnsi="Times New Roman" w:cs="Times New Roman"/>
          <w:sz w:val="24"/>
          <w:szCs w:val="24"/>
          <w:vertAlign w:val="superscript"/>
        </w:rPr>
        <w:t>1,2</w:t>
      </w:r>
    </w:p>
    <w:p w14:paraId="18A693E4" w14:textId="77777777" w:rsidR="004916D9" w:rsidRDefault="004916D9" w:rsidP="00A92FFF">
      <w:pPr>
        <w:rPr>
          <w:rFonts w:ascii="Times New Roman" w:hAnsi="Times New Roman" w:cs="Times New Roman"/>
          <w:sz w:val="24"/>
          <w:szCs w:val="24"/>
        </w:rPr>
      </w:pPr>
    </w:p>
    <w:p w14:paraId="49843F9C" w14:textId="77777777" w:rsidR="004916D9" w:rsidRDefault="004916D9" w:rsidP="00A92FFF">
      <w:pPr>
        <w:rPr>
          <w:rFonts w:ascii="Times New Roman" w:hAnsi="Times New Roman" w:cs="Times New Roman"/>
          <w:b/>
          <w:sz w:val="24"/>
          <w:szCs w:val="24"/>
        </w:rPr>
      </w:pPr>
      <w:r>
        <w:rPr>
          <w:rFonts w:ascii="Times New Roman" w:hAnsi="Times New Roman" w:cs="Times New Roman"/>
          <w:b/>
          <w:sz w:val="24"/>
          <w:szCs w:val="24"/>
        </w:rPr>
        <w:t>Refernces</w:t>
      </w:r>
    </w:p>
    <w:p w14:paraId="71891CD5" w14:textId="77777777" w:rsidR="007964D9" w:rsidRDefault="004916D9" w:rsidP="007964D9">
      <w:pPr>
        <w:pStyle w:val="Listenabsatz"/>
        <w:numPr>
          <w:ilvl w:val="0"/>
          <w:numId w:val="1"/>
        </w:numPr>
        <w:ind w:left="360"/>
        <w:rPr>
          <w:rFonts w:ascii="Times New Roman" w:hAnsi="Times New Roman" w:cs="Times New Roman"/>
          <w:sz w:val="20"/>
          <w:szCs w:val="20"/>
        </w:rPr>
      </w:pPr>
      <w:r w:rsidRPr="00517E6D">
        <w:rPr>
          <w:rFonts w:ascii="Times New Roman" w:hAnsi="Times New Roman" w:cs="Times New Roman"/>
          <w:sz w:val="20"/>
          <w:szCs w:val="20"/>
          <w:lang w:val="de-DE"/>
        </w:rPr>
        <w:t xml:space="preserve">Meyer, R., Zurhelle, A., De Souza, R. A., Waser, R., Gunkel, F. </w:t>
      </w:r>
      <w:r w:rsidRPr="00517E6D">
        <w:rPr>
          <w:rFonts w:ascii="Times New Roman" w:hAnsi="Times New Roman" w:cs="Times New Roman"/>
          <w:i/>
          <w:sz w:val="20"/>
          <w:szCs w:val="20"/>
          <w:lang w:val="de-DE"/>
        </w:rPr>
        <w:t xml:space="preserve">Phys. </w:t>
      </w:r>
      <w:r>
        <w:rPr>
          <w:rFonts w:ascii="Times New Roman" w:hAnsi="Times New Roman" w:cs="Times New Roman"/>
          <w:i/>
          <w:sz w:val="20"/>
          <w:szCs w:val="20"/>
        </w:rPr>
        <w:t>Rev. B.</w:t>
      </w:r>
      <w:r>
        <w:rPr>
          <w:rFonts w:ascii="Times New Roman" w:hAnsi="Times New Roman" w:cs="Times New Roman"/>
          <w:sz w:val="20"/>
          <w:szCs w:val="20"/>
        </w:rPr>
        <w:t xml:space="preserve"> </w:t>
      </w:r>
      <w:r>
        <w:rPr>
          <w:rFonts w:ascii="Times New Roman" w:hAnsi="Times New Roman" w:cs="Times New Roman"/>
          <w:b/>
          <w:sz w:val="20"/>
          <w:szCs w:val="20"/>
        </w:rPr>
        <w:t>94</w:t>
      </w:r>
      <w:r>
        <w:rPr>
          <w:rFonts w:ascii="Times New Roman" w:hAnsi="Times New Roman" w:cs="Times New Roman"/>
          <w:sz w:val="20"/>
          <w:szCs w:val="20"/>
        </w:rPr>
        <w:t>, 115408</w:t>
      </w:r>
      <w:r w:rsidRPr="00230D40">
        <w:rPr>
          <w:rFonts w:ascii="Times New Roman" w:hAnsi="Times New Roman" w:cs="Times New Roman"/>
          <w:sz w:val="20"/>
          <w:szCs w:val="20"/>
        </w:rPr>
        <w:t xml:space="preserve"> </w:t>
      </w:r>
      <w:r>
        <w:rPr>
          <w:rFonts w:ascii="Times New Roman" w:hAnsi="Times New Roman" w:cs="Times New Roman"/>
          <w:sz w:val="20"/>
          <w:szCs w:val="20"/>
        </w:rPr>
        <w:t>(</w:t>
      </w:r>
      <w:r w:rsidRPr="00230D40">
        <w:rPr>
          <w:rFonts w:ascii="Times New Roman" w:hAnsi="Times New Roman" w:cs="Times New Roman"/>
          <w:sz w:val="20"/>
          <w:szCs w:val="20"/>
        </w:rPr>
        <w:t>2016</w:t>
      </w:r>
      <w:r>
        <w:rPr>
          <w:rFonts w:ascii="Times New Roman" w:hAnsi="Times New Roman" w:cs="Times New Roman"/>
          <w:sz w:val="20"/>
          <w:szCs w:val="20"/>
        </w:rPr>
        <w:t>).</w:t>
      </w:r>
    </w:p>
    <w:p w14:paraId="34241D6D" w14:textId="77777777" w:rsidR="004916D9" w:rsidRPr="007964D9" w:rsidRDefault="004916D9" w:rsidP="007964D9">
      <w:pPr>
        <w:pStyle w:val="Listenabsatz"/>
        <w:numPr>
          <w:ilvl w:val="0"/>
          <w:numId w:val="1"/>
        </w:numPr>
        <w:ind w:left="360"/>
        <w:rPr>
          <w:rFonts w:ascii="Times New Roman" w:hAnsi="Times New Roman" w:cs="Times New Roman"/>
          <w:sz w:val="20"/>
          <w:szCs w:val="20"/>
        </w:rPr>
      </w:pPr>
      <w:r w:rsidRPr="00517E6D">
        <w:rPr>
          <w:rFonts w:ascii="Times New Roman" w:hAnsi="Times New Roman" w:cs="Times New Roman"/>
          <w:sz w:val="20"/>
          <w:szCs w:val="20"/>
          <w:lang w:val="de-DE"/>
        </w:rPr>
        <w:t>Andr</w:t>
      </w:r>
      <w:r w:rsidRPr="007964D9">
        <w:rPr>
          <w:rFonts w:ascii="Times New Roman" w:hAnsi="Times New Roman" w:cs="Times New Roman"/>
          <w:sz w:val="20"/>
          <w:szCs w:val="20"/>
          <w:lang w:val="de-DE"/>
        </w:rPr>
        <w:t>ä</w:t>
      </w:r>
      <w:r w:rsidRPr="00517E6D">
        <w:rPr>
          <w:rFonts w:ascii="Times New Roman" w:hAnsi="Times New Roman" w:cs="Times New Roman"/>
          <w:sz w:val="20"/>
          <w:szCs w:val="20"/>
          <w:lang w:val="de-DE"/>
        </w:rPr>
        <w:t xml:space="preserve">, M., Dvořák, F., Vorokhta, M., Nemšák, S., Matolin, V., Schneider, C. M., Dittmann, R., Gukel, F., Mueller, D. N., Waser, R. </w:t>
      </w:r>
      <w:r w:rsidR="007964D9" w:rsidRPr="00517E6D">
        <w:rPr>
          <w:rFonts w:ascii="Times New Roman" w:hAnsi="Times New Roman" w:cs="Times New Roman"/>
          <w:i/>
          <w:sz w:val="20"/>
          <w:szCs w:val="20"/>
          <w:lang w:val="de-DE"/>
        </w:rPr>
        <w:t>APL Mater.</w:t>
      </w:r>
      <w:r w:rsidRPr="00517E6D">
        <w:rPr>
          <w:rFonts w:ascii="Times New Roman" w:hAnsi="Times New Roman" w:cs="Times New Roman"/>
          <w:sz w:val="20"/>
          <w:szCs w:val="20"/>
          <w:lang w:val="de-DE"/>
        </w:rPr>
        <w:t xml:space="preserve"> </w:t>
      </w:r>
      <w:r w:rsidR="007964D9" w:rsidRPr="007964D9">
        <w:rPr>
          <w:rFonts w:ascii="Times New Roman" w:hAnsi="Times New Roman" w:cs="Times New Roman"/>
          <w:b/>
          <w:sz w:val="20"/>
          <w:szCs w:val="20"/>
        </w:rPr>
        <w:t>5</w:t>
      </w:r>
      <w:r w:rsidR="007964D9" w:rsidRPr="007964D9">
        <w:rPr>
          <w:rFonts w:ascii="Times New Roman" w:hAnsi="Times New Roman" w:cs="Times New Roman"/>
          <w:sz w:val="20"/>
          <w:szCs w:val="20"/>
        </w:rPr>
        <w:t>, 056106 (2017).</w:t>
      </w:r>
    </w:p>
    <w:sectPr w:rsidR="004916D9" w:rsidRPr="007964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32575"/>
    <w:multiLevelType w:val="hybridMultilevel"/>
    <w:tmpl w:val="E32CC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FFF"/>
    <w:rsid w:val="000A37AB"/>
    <w:rsid w:val="00284D7A"/>
    <w:rsid w:val="002E11D1"/>
    <w:rsid w:val="004916D9"/>
    <w:rsid w:val="00513CF4"/>
    <w:rsid w:val="00517E6D"/>
    <w:rsid w:val="00780736"/>
    <w:rsid w:val="007964D9"/>
    <w:rsid w:val="007E23CF"/>
    <w:rsid w:val="00895700"/>
    <w:rsid w:val="00A92FFF"/>
    <w:rsid w:val="00A95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CB47"/>
  <w15:chartTrackingRefBased/>
  <w15:docId w15:val="{426C31FB-79E4-48C9-8DAB-74408966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92FFF"/>
    <w:rPr>
      <w:sz w:val="16"/>
      <w:szCs w:val="16"/>
    </w:rPr>
  </w:style>
  <w:style w:type="paragraph" w:styleId="Kommentartext">
    <w:name w:val="annotation text"/>
    <w:basedOn w:val="Standard"/>
    <w:link w:val="KommentartextZchn"/>
    <w:uiPriority w:val="99"/>
    <w:semiHidden/>
    <w:unhideWhenUsed/>
    <w:rsid w:val="00A92FF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92FFF"/>
    <w:rPr>
      <w:sz w:val="20"/>
      <w:szCs w:val="20"/>
    </w:rPr>
  </w:style>
  <w:style w:type="paragraph" w:styleId="Kommentarthema">
    <w:name w:val="annotation subject"/>
    <w:basedOn w:val="Kommentartext"/>
    <w:next w:val="Kommentartext"/>
    <w:link w:val="KommentarthemaZchn"/>
    <w:uiPriority w:val="99"/>
    <w:semiHidden/>
    <w:unhideWhenUsed/>
    <w:rsid w:val="00A92FFF"/>
    <w:rPr>
      <w:b/>
      <w:bCs/>
    </w:rPr>
  </w:style>
  <w:style w:type="character" w:customStyle="1" w:styleId="KommentarthemaZchn">
    <w:name w:val="Kommentarthema Zchn"/>
    <w:basedOn w:val="KommentartextZchn"/>
    <w:link w:val="Kommentarthema"/>
    <w:uiPriority w:val="99"/>
    <w:semiHidden/>
    <w:rsid w:val="00A92FFF"/>
    <w:rPr>
      <w:b/>
      <w:bCs/>
      <w:sz w:val="20"/>
      <w:szCs w:val="20"/>
    </w:rPr>
  </w:style>
  <w:style w:type="paragraph" w:styleId="Sprechblasentext">
    <w:name w:val="Balloon Text"/>
    <w:basedOn w:val="Standard"/>
    <w:link w:val="SprechblasentextZchn"/>
    <w:uiPriority w:val="99"/>
    <w:semiHidden/>
    <w:unhideWhenUsed/>
    <w:rsid w:val="00A92FF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2FFF"/>
    <w:rPr>
      <w:rFonts w:ascii="Segoe UI" w:hAnsi="Segoe UI" w:cs="Segoe UI"/>
      <w:sz w:val="18"/>
      <w:szCs w:val="18"/>
    </w:rPr>
  </w:style>
  <w:style w:type="paragraph" w:styleId="Listenabsatz">
    <w:name w:val="List Paragraph"/>
    <w:basedOn w:val="Standard"/>
    <w:uiPriority w:val="34"/>
    <w:qFormat/>
    <w:rsid w:val="004916D9"/>
    <w:pPr>
      <w:ind w:left="720"/>
      <w:contextualSpacing/>
    </w:pPr>
  </w:style>
  <w:style w:type="paragraph" w:customStyle="1" w:styleId="authoraffiliation">
    <w:name w:val="authoraffiliation"/>
    <w:basedOn w:val="Standard"/>
    <w:rsid w:val="007964D9"/>
    <w:pPr>
      <w:spacing w:after="0" w:line="240" w:lineRule="auto"/>
      <w:jc w:val="center"/>
    </w:pPr>
    <w:rPr>
      <w:rFonts w:ascii="Times New Roman" w:eastAsia="Batang" w:hAnsi="Times New Roman" w:cs="Times New Roman"/>
      <w:i/>
      <w:iCs/>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ser\AppData\Local\Chemistry%20Add-in%20for%20Word\Chemistry%20Gallery\Chem4Word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F54D1EF9-E139-4F47-BF9A-36BC47F7F655}">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Chem4Word2010.dotx</Template>
  <TotalTime>0</TotalTime>
  <Pages>1</Pages>
  <Words>305</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Mueller</dc:creator>
  <cp:keywords/>
  <dc:description/>
  <cp:lastModifiedBy>waser</cp:lastModifiedBy>
  <cp:revision>4</cp:revision>
  <dcterms:created xsi:type="dcterms:W3CDTF">2018-01-29T09:17:00Z</dcterms:created>
  <dcterms:modified xsi:type="dcterms:W3CDTF">2018-01-29T13:45:00Z</dcterms:modified>
</cp:coreProperties>
</file>