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D3310" w:rsidRPr="006D3310" w:rsidRDefault="006D3310" w:rsidP="006D3310">
      <w:pPr>
        <w:shd w:val="clear" w:color="auto" w:fill="FFFFFF"/>
        <w:spacing w:before="166" w:after="166" w:line="240" w:lineRule="auto"/>
        <w:rPr>
          <w:rFonts w:ascii="Arial" w:eastAsia="Times New Roman" w:hAnsi="Arial" w:cs="Arial"/>
          <w:color w:val="000000" w:themeColor="text1"/>
          <w:sz w:val="20"/>
          <w:szCs w:val="20"/>
        </w:rPr>
      </w:pPr>
    </w:p>
    <w:p w:rsidR="006D3310" w:rsidRPr="006D3310" w:rsidRDefault="006D3310" w:rsidP="006D3310">
      <w:pPr>
        <w:pBdr>
          <w:bottom w:val="single" w:sz="6" w:space="0" w:color="97B0C8"/>
        </w:pBdr>
        <w:shd w:val="clear" w:color="auto" w:fill="FFFFFF"/>
        <w:spacing w:before="270" w:after="135" w:line="240" w:lineRule="auto"/>
        <w:outlineLvl w:val="1"/>
        <w:rPr>
          <w:rFonts w:ascii="Arial" w:eastAsia="Times New Roman" w:hAnsi="Arial" w:cs="Arial"/>
          <w:b/>
          <w:bCs/>
          <w:color w:val="000000" w:themeColor="text1"/>
          <w:sz w:val="25"/>
          <w:szCs w:val="25"/>
        </w:rPr>
      </w:pPr>
      <w:r w:rsidRPr="006D3310">
        <w:rPr>
          <w:rFonts w:ascii="Arial" w:eastAsia="Times New Roman" w:hAnsi="Arial" w:cs="Arial"/>
          <w:b/>
          <w:bCs/>
          <w:color w:val="000000" w:themeColor="text1"/>
          <w:sz w:val="25"/>
          <w:szCs w:val="25"/>
        </w:rPr>
        <w:t>Abstract</w:t>
      </w:r>
    </w:p>
    <w:p w:rsidR="006D3310" w:rsidRPr="006D3310" w:rsidRDefault="006D3310" w:rsidP="006D3310">
      <w:pPr>
        <w:shd w:val="clear" w:color="auto" w:fill="FFFFFF"/>
        <w:spacing w:before="166" w:after="166" w:line="240" w:lineRule="auto"/>
        <w:rPr>
          <w:rFonts w:ascii="Arial" w:eastAsia="Times New Roman" w:hAnsi="Arial" w:cs="Arial"/>
          <w:color w:val="000000" w:themeColor="text1"/>
          <w:sz w:val="20"/>
          <w:szCs w:val="20"/>
        </w:rPr>
      </w:pPr>
    </w:p>
    <w:p w:rsidR="006D3310" w:rsidRPr="006D3310" w:rsidRDefault="006D3310" w:rsidP="006D3310">
      <w:pPr>
        <w:shd w:val="clear" w:color="auto" w:fill="FFFFFF"/>
        <w:spacing w:before="166" w:after="166" w:line="240" w:lineRule="auto"/>
        <w:rPr>
          <w:rFonts w:ascii="Arial" w:eastAsia="Times New Roman" w:hAnsi="Arial" w:cs="Arial"/>
          <w:color w:val="000000" w:themeColor="text1"/>
          <w:sz w:val="20"/>
          <w:szCs w:val="20"/>
        </w:rPr>
      </w:pPr>
      <w:r w:rsidRPr="006D3310">
        <w:rPr>
          <w:rFonts w:ascii="Arial" w:eastAsia="Times New Roman" w:hAnsi="Arial" w:cs="Arial"/>
          <w:color w:val="000000" w:themeColor="text1"/>
          <w:sz w:val="20"/>
          <w:szCs w:val="20"/>
        </w:rPr>
        <w:t>The</w:t>
      </w:r>
      <w:r w:rsidRPr="006D3310">
        <w:rPr>
          <w:rFonts w:ascii="Arial" w:eastAsia="Times New Roman" w:hAnsi="Arial" w:cs="Arial"/>
          <w:color w:val="000000" w:themeColor="text1"/>
          <w:sz w:val="20"/>
        </w:rPr>
        <w:t> </w:t>
      </w:r>
      <w:hyperlink r:id="rId6" w:history="1">
        <w:r w:rsidRPr="006D3310">
          <w:rPr>
            <w:rFonts w:ascii="Arial" w:eastAsia="Times New Roman" w:hAnsi="Arial" w:cs="Arial"/>
            <w:color w:val="000000" w:themeColor="text1"/>
            <w:sz w:val="20"/>
            <w:u w:val="single"/>
          </w:rPr>
          <w:t>temporomandibular joint</w:t>
        </w:r>
      </w:hyperlink>
      <w:r w:rsidRPr="006D3310">
        <w:rPr>
          <w:rFonts w:ascii="Arial" w:eastAsia="Times New Roman" w:hAnsi="Arial" w:cs="Arial"/>
          <w:color w:val="000000" w:themeColor="text1"/>
          <w:sz w:val="20"/>
        </w:rPr>
        <w:t> </w:t>
      </w:r>
      <w:r w:rsidRPr="006D3310">
        <w:rPr>
          <w:rFonts w:ascii="Arial" w:eastAsia="Times New Roman" w:hAnsi="Arial" w:cs="Arial"/>
          <w:color w:val="000000" w:themeColor="text1"/>
          <w:sz w:val="20"/>
          <w:szCs w:val="20"/>
        </w:rPr>
        <w:t>(TMJ) or jaw joint is located in</w:t>
      </w:r>
      <w:r w:rsidRPr="006D3310">
        <w:rPr>
          <w:rFonts w:ascii="Arial" w:eastAsia="Times New Roman" w:hAnsi="Arial" w:cs="Arial"/>
          <w:color w:val="000000" w:themeColor="text1"/>
          <w:sz w:val="20"/>
        </w:rPr>
        <w:t> </w:t>
      </w:r>
      <w:hyperlink r:id="rId7" w:history="1">
        <w:r w:rsidRPr="006D3310">
          <w:rPr>
            <w:rFonts w:ascii="Arial" w:eastAsia="Times New Roman" w:hAnsi="Arial" w:cs="Arial"/>
            <w:color w:val="000000" w:themeColor="text1"/>
            <w:sz w:val="20"/>
            <w:u w:val="single"/>
          </w:rPr>
          <w:t>front</w:t>
        </w:r>
      </w:hyperlink>
      <w:r w:rsidRPr="006D3310">
        <w:rPr>
          <w:rFonts w:ascii="Arial" w:eastAsia="Times New Roman" w:hAnsi="Arial" w:cs="Arial"/>
          <w:color w:val="000000" w:themeColor="text1"/>
          <w:sz w:val="20"/>
        </w:rPr>
        <w:t> </w:t>
      </w:r>
      <w:r w:rsidRPr="006D3310">
        <w:rPr>
          <w:rFonts w:ascii="Arial" w:eastAsia="Times New Roman" w:hAnsi="Arial" w:cs="Arial"/>
          <w:color w:val="000000" w:themeColor="text1"/>
          <w:sz w:val="20"/>
          <w:szCs w:val="20"/>
        </w:rPr>
        <w:t>of the</w:t>
      </w:r>
      <w:r w:rsidRPr="006D3310">
        <w:rPr>
          <w:rFonts w:ascii="Arial" w:eastAsia="Times New Roman" w:hAnsi="Arial" w:cs="Arial"/>
          <w:color w:val="000000" w:themeColor="text1"/>
          <w:sz w:val="20"/>
        </w:rPr>
        <w:t> </w:t>
      </w:r>
      <w:hyperlink r:id="rId8" w:history="1">
        <w:r w:rsidRPr="006D3310">
          <w:rPr>
            <w:rFonts w:ascii="Arial" w:eastAsia="Times New Roman" w:hAnsi="Arial" w:cs="Arial"/>
            <w:color w:val="000000" w:themeColor="text1"/>
            <w:sz w:val="20"/>
            <w:u w:val="single"/>
          </w:rPr>
          <w:t>ear</w:t>
        </w:r>
      </w:hyperlink>
      <w:r w:rsidRPr="006D3310">
        <w:rPr>
          <w:rFonts w:ascii="Arial" w:eastAsia="Times New Roman" w:hAnsi="Arial" w:cs="Arial"/>
          <w:color w:val="000000" w:themeColor="text1"/>
          <w:sz w:val="20"/>
        </w:rPr>
        <w:t> </w:t>
      </w:r>
      <w:r w:rsidRPr="006D3310">
        <w:rPr>
          <w:rFonts w:ascii="Arial" w:eastAsia="Times New Roman" w:hAnsi="Arial" w:cs="Arial"/>
          <w:color w:val="000000" w:themeColor="text1"/>
          <w:sz w:val="20"/>
          <w:szCs w:val="20"/>
        </w:rPr>
        <w:t>on either side of the face. However, it is the only joint that the dentists and maxillofacial surgeons predominantly have to deal with. As with many of the other</w:t>
      </w:r>
      <w:r w:rsidRPr="006D3310">
        <w:rPr>
          <w:rFonts w:ascii="Arial" w:eastAsia="Times New Roman" w:hAnsi="Arial" w:cs="Arial"/>
          <w:color w:val="000000" w:themeColor="text1"/>
          <w:sz w:val="20"/>
        </w:rPr>
        <w:t> </w:t>
      </w:r>
      <w:hyperlink r:id="rId9" w:history="1">
        <w:r w:rsidRPr="006D3310">
          <w:rPr>
            <w:rFonts w:ascii="Arial" w:eastAsia="Times New Roman" w:hAnsi="Arial" w:cs="Arial"/>
            <w:color w:val="000000" w:themeColor="text1"/>
            <w:sz w:val="20"/>
            <w:u w:val="single"/>
          </w:rPr>
          <w:t>joints</w:t>
        </w:r>
      </w:hyperlink>
      <w:r w:rsidRPr="006D3310">
        <w:rPr>
          <w:rFonts w:ascii="Arial" w:eastAsia="Times New Roman" w:hAnsi="Arial" w:cs="Arial"/>
          <w:color w:val="000000" w:themeColor="text1"/>
          <w:sz w:val="20"/>
          <w:szCs w:val="20"/>
        </w:rPr>
        <w:t>, the TMJ can be affected by</w:t>
      </w:r>
      <w:r w:rsidRPr="006D3310">
        <w:rPr>
          <w:rFonts w:ascii="Arial" w:eastAsia="Times New Roman" w:hAnsi="Arial" w:cs="Arial"/>
          <w:color w:val="000000" w:themeColor="text1"/>
          <w:sz w:val="20"/>
        </w:rPr>
        <w:t> </w:t>
      </w:r>
      <w:hyperlink r:id="rId10" w:history="1">
        <w:r w:rsidRPr="006D3310">
          <w:rPr>
            <w:rFonts w:ascii="Arial" w:eastAsia="Times New Roman" w:hAnsi="Arial" w:cs="Arial"/>
            <w:color w:val="000000" w:themeColor="text1"/>
            <w:sz w:val="20"/>
            <w:u w:val="single"/>
          </w:rPr>
          <w:t>osteoarthritis</w:t>
        </w:r>
      </w:hyperlink>
      <w:r w:rsidRPr="006D3310">
        <w:rPr>
          <w:rFonts w:ascii="Arial" w:eastAsia="Times New Roman" w:hAnsi="Arial" w:cs="Arial"/>
          <w:color w:val="000000" w:themeColor="text1"/>
          <w:sz w:val="20"/>
        </w:rPr>
        <w:t> </w:t>
      </w:r>
      <w:r w:rsidRPr="006D3310">
        <w:rPr>
          <w:rFonts w:ascii="Arial" w:eastAsia="Times New Roman" w:hAnsi="Arial" w:cs="Arial"/>
          <w:color w:val="000000" w:themeColor="text1"/>
          <w:sz w:val="20"/>
          <w:szCs w:val="20"/>
        </w:rPr>
        <w:t>(OA). This is characterized by progressive destruction of the internal surfaces of the joint which can result in debilitating pain and joint noises. Several disorders other than OA may affect the TMJ and the correct diagnosis is important such that it can be matched with appropriate</w:t>
      </w:r>
      <w:r w:rsidRPr="006D3310">
        <w:rPr>
          <w:rFonts w:ascii="Arial" w:eastAsia="Times New Roman" w:hAnsi="Arial" w:cs="Arial"/>
          <w:color w:val="000000" w:themeColor="text1"/>
          <w:sz w:val="20"/>
        </w:rPr>
        <w:t> </w:t>
      </w:r>
      <w:hyperlink r:id="rId11" w:history="1">
        <w:r w:rsidRPr="006D3310">
          <w:rPr>
            <w:rFonts w:ascii="Arial" w:eastAsia="Times New Roman" w:hAnsi="Arial" w:cs="Arial"/>
            <w:color w:val="000000" w:themeColor="text1"/>
            <w:sz w:val="20"/>
            <w:u w:val="single"/>
          </w:rPr>
          <w:t>therapy</w:t>
        </w:r>
      </w:hyperlink>
      <w:r w:rsidRPr="006D3310">
        <w:rPr>
          <w:rFonts w:ascii="Arial" w:eastAsia="Times New Roman" w:hAnsi="Arial" w:cs="Arial"/>
          <w:color w:val="000000" w:themeColor="text1"/>
          <w:sz w:val="20"/>
          <w:szCs w:val="20"/>
        </w:rPr>
        <w:t>.</w:t>
      </w:r>
    </w:p>
    <w:p w:rsidR="006D3310" w:rsidRPr="006D3310" w:rsidRDefault="006D3310" w:rsidP="006D3310">
      <w:pPr>
        <w:shd w:val="clear" w:color="auto" w:fill="FFFFFF"/>
        <w:spacing w:before="166" w:after="166" w:line="240" w:lineRule="auto"/>
        <w:rPr>
          <w:rFonts w:ascii="Arial" w:eastAsia="Times New Roman" w:hAnsi="Arial" w:cs="Arial"/>
          <w:color w:val="000000" w:themeColor="text1"/>
          <w:sz w:val="20"/>
          <w:szCs w:val="20"/>
        </w:rPr>
      </w:pPr>
      <w:r w:rsidRPr="006D3310">
        <w:rPr>
          <w:rFonts w:ascii="Arial" w:eastAsia="Times New Roman" w:hAnsi="Arial" w:cs="Arial"/>
          <w:color w:val="000000" w:themeColor="text1"/>
          <w:sz w:val="20"/>
          <w:szCs w:val="20"/>
        </w:rPr>
        <w:t>A range of</w:t>
      </w:r>
      <w:r w:rsidRPr="006D3310">
        <w:rPr>
          <w:rFonts w:ascii="Arial" w:eastAsia="Times New Roman" w:hAnsi="Arial" w:cs="Arial"/>
          <w:color w:val="000000" w:themeColor="text1"/>
          <w:sz w:val="20"/>
        </w:rPr>
        <w:t> </w:t>
      </w:r>
      <w:hyperlink r:id="rId12" w:history="1">
        <w:r w:rsidRPr="006D3310">
          <w:rPr>
            <w:rFonts w:ascii="Arial" w:eastAsia="Times New Roman" w:hAnsi="Arial" w:cs="Arial"/>
            <w:color w:val="000000" w:themeColor="text1"/>
            <w:sz w:val="20"/>
            <w:u w:val="single"/>
          </w:rPr>
          <w:t>therapeutic</w:t>
        </w:r>
      </w:hyperlink>
      <w:r w:rsidRPr="006D3310">
        <w:rPr>
          <w:rFonts w:ascii="Arial" w:eastAsia="Times New Roman" w:hAnsi="Arial" w:cs="Arial"/>
          <w:color w:val="000000" w:themeColor="text1"/>
          <w:sz w:val="20"/>
        </w:rPr>
        <w:t> </w:t>
      </w:r>
      <w:r w:rsidRPr="006D3310">
        <w:rPr>
          <w:rFonts w:ascii="Arial" w:eastAsia="Times New Roman" w:hAnsi="Arial" w:cs="Arial"/>
          <w:color w:val="000000" w:themeColor="text1"/>
          <w:sz w:val="20"/>
          <w:szCs w:val="20"/>
        </w:rPr>
        <w:t>options are available for TMJ OA, which include non</w:t>
      </w:r>
      <w:r w:rsidRPr="006D3310">
        <w:rPr>
          <w:rFonts w:ascii="Cambria Math" w:eastAsia="Times New Roman" w:hAnsi="Cambria Math" w:cs="Cambria Math"/>
          <w:color w:val="000000" w:themeColor="text1"/>
          <w:sz w:val="20"/>
          <w:szCs w:val="20"/>
        </w:rPr>
        <w:t>‐</w:t>
      </w:r>
      <w:r w:rsidRPr="006D3310">
        <w:rPr>
          <w:rFonts w:ascii="Arial" w:eastAsia="Times New Roman" w:hAnsi="Arial" w:cs="Arial"/>
          <w:color w:val="000000" w:themeColor="text1"/>
          <w:sz w:val="20"/>
          <w:szCs w:val="20"/>
        </w:rPr>
        <w:t>surgical modalities such as control of contributory factors, occlusal appliances, cold or warm packs applied to the</w:t>
      </w:r>
      <w:r w:rsidRPr="006D3310">
        <w:rPr>
          <w:rFonts w:ascii="Arial" w:eastAsia="Times New Roman" w:hAnsi="Arial" w:cs="Arial"/>
          <w:color w:val="000000" w:themeColor="text1"/>
          <w:sz w:val="20"/>
        </w:rPr>
        <w:t> </w:t>
      </w:r>
      <w:hyperlink r:id="rId13" w:history="1">
        <w:r w:rsidRPr="006D3310">
          <w:rPr>
            <w:rFonts w:ascii="Arial" w:eastAsia="Times New Roman" w:hAnsi="Arial" w:cs="Arial"/>
            <w:color w:val="000000" w:themeColor="text1"/>
            <w:sz w:val="20"/>
            <w:u w:val="single"/>
          </w:rPr>
          <w:t>joint</w:t>
        </w:r>
      </w:hyperlink>
      <w:r w:rsidRPr="006D3310">
        <w:rPr>
          <w:rFonts w:ascii="Arial" w:eastAsia="Times New Roman" w:hAnsi="Arial" w:cs="Arial"/>
          <w:color w:val="000000" w:themeColor="text1"/>
          <w:sz w:val="20"/>
          <w:szCs w:val="20"/>
        </w:rPr>
        <w:t>, pharmacological</w:t>
      </w:r>
      <w:r w:rsidRPr="006D3310">
        <w:rPr>
          <w:rFonts w:ascii="Arial" w:eastAsia="Times New Roman" w:hAnsi="Arial" w:cs="Arial"/>
          <w:color w:val="000000" w:themeColor="text1"/>
          <w:sz w:val="20"/>
        </w:rPr>
        <w:t> </w:t>
      </w:r>
      <w:hyperlink r:id="rId14" w:history="1">
        <w:r w:rsidRPr="006D3310">
          <w:rPr>
            <w:rFonts w:ascii="Arial" w:eastAsia="Times New Roman" w:hAnsi="Arial" w:cs="Arial"/>
            <w:color w:val="000000" w:themeColor="text1"/>
            <w:sz w:val="20"/>
            <w:u w:val="single"/>
          </w:rPr>
          <w:t>interventions</w:t>
        </w:r>
      </w:hyperlink>
      <w:r w:rsidRPr="006D3310">
        <w:rPr>
          <w:rFonts w:ascii="Arial" w:eastAsia="Times New Roman" w:hAnsi="Arial" w:cs="Arial"/>
          <w:color w:val="000000" w:themeColor="text1"/>
          <w:sz w:val="20"/>
        </w:rPr>
        <w:t> </w:t>
      </w:r>
      <w:r w:rsidRPr="006D3310">
        <w:rPr>
          <w:rFonts w:ascii="Arial" w:eastAsia="Times New Roman" w:hAnsi="Arial" w:cs="Arial"/>
          <w:color w:val="000000" w:themeColor="text1"/>
          <w:sz w:val="20"/>
          <w:szCs w:val="20"/>
        </w:rPr>
        <w:t>as well as physiotherapy. Surgical</w:t>
      </w:r>
      <w:r w:rsidRPr="006D3310">
        <w:rPr>
          <w:rFonts w:ascii="Arial" w:eastAsia="Times New Roman" w:hAnsi="Arial" w:cs="Arial"/>
          <w:color w:val="000000" w:themeColor="text1"/>
          <w:sz w:val="20"/>
        </w:rPr>
        <w:t> </w:t>
      </w:r>
      <w:hyperlink r:id="rId15" w:history="1">
        <w:r w:rsidRPr="006D3310">
          <w:rPr>
            <w:rFonts w:ascii="Arial" w:eastAsia="Times New Roman" w:hAnsi="Arial" w:cs="Arial"/>
            <w:color w:val="000000" w:themeColor="text1"/>
            <w:sz w:val="20"/>
            <w:u w:val="single"/>
          </w:rPr>
          <w:t>treatment</w:t>
        </w:r>
      </w:hyperlink>
      <w:r w:rsidRPr="006D3310">
        <w:rPr>
          <w:rFonts w:ascii="Arial" w:eastAsia="Times New Roman" w:hAnsi="Arial" w:cs="Arial"/>
          <w:color w:val="000000" w:themeColor="text1"/>
          <w:sz w:val="20"/>
        </w:rPr>
        <w:t> </w:t>
      </w:r>
      <w:r w:rsidRPr="006D3310">
        <w:rPr>
          <w:rFonts w:ascii="Arial" w:eastAsia="Times New Roman" w:hAnsi="Arial" w:cs="Arial"/>
          <w:color w:val="000000" w:themeColor="text1"/>
          <w:sz w:val="20"/>
          <w:szCs w:val="20"/>
        </w:rPr>
        <w:t>options include intra</w:t>
      </w:r>
      <w:r w:rsidRPr="006D3310">
        <w:rPr>
          <w:rFonts w:ascii="Cambria Math" w:eastAsia="Times New Roman" w:hAnsi="Cambria Math" w:cs="Cambria Math"/>
          <w:color w:val="000000" w:themeColor="text1"/>
          <w:sz w:val="20"/>
          <w:szCs w:val="20"/>
        </w:rPr>
        <w:t>‐</w:t>
      </w:r>
      <w:r w:rsidRPr="006D3310">
        <w:rPr>
          <w:rFonts w:ascii="Arial" w:eastAsia="Times New Roman" w:hAnsi="Arial" w:cs="Arial"/>
          <w:color w:val="000000" w:themeColor="text1"/>
          <w:sz w:val="20"/>
          <w:szCs w:val="20"/>
        </w:rPr>
        <w:t>articular</w:t>
      </w:r>
      <w:r w:rsidRPr="006D3310">
        <w:rPr>
          <w:rFonts w:ascii="Arial" w:eastAsia="Times New Roman" w:hAnsi="Arial" w:cs="Arial"/>
          <w:color w:val="000000" w:themeColor="text1"/>
          <w:sz w:val="20"/>
        </w:rPr>
        <w:t> </w:t>
      </w:r>
      <w:hyperlink r:id="rId16" w:history="1">
        <w:r w:rsidRPr="006D3310">
          <w:rPr>
            <w:rFonts w:ascii="Arial" w:eastAsia="Times New Roman" w:hAnsi="Arial" w:cs="Arial"/>
            <w:color w:val="000000" w:themeColor="text1"/>
            <w:sz w:val="20"/>
            <w:u w:val="single"/>
          </w:rPr>
          <w:t>injections</w:t>
        </w:r>
      </w:hyperlink>
      <w:r w:rsidRPr="006D3310">
        <w:rPr>
          <w:rFonts w:ascii="Arial" w:eastAsia="Times New Roman" w:hAnsi="Arial" w:cs="Arial"/>
          <w:color w:val="000000" w:themeColor="text1"/>
          <w:sz w:val="20"/>
          <w:szCs w:val="20"/>
        </w:rPr>
        <w:t>, arthrocentesis (lavage of the joint) as well as attempts at repair or replacement of portions of the TMJ.</w:t>
      </w:r>
    </w:p>
    <w:p w:rsidR="006D3310" w:rsidRPr="006D3310" w:rsidRDefault="006D3310" w:rsidP="006D3310">
      <w:pPr>
        <w:shd w:val="clear" w:color="auto" w:fill="FFFFFF"/>
        <w:spacing w:before="166" w:after="166" w:line="240" w:lineRule="auto"/>
        <w:rPr>
          <w:rFonts w:ascii="Arial" w:eastAsia="Times New Roman" w:hAnsi="Arial" w:cs="Arial"/>
          <w:color w:val="000000" w:themeColor="text1"/>
          <w:sz w:val="20"/>
          <w:szCs w:val="20"/>
        </w:rPr>
      </w:pPr>
      <w:r w:rsidRPr="006D3310">
        <w:rPr>
          <w:rFonts w:ascii="Arial" w:eastAsia="Times New Roman" w:hAnsi="Arial" w:cs="Arial"/>
          <w:color w:val="000000" w:themeColor="text1"/>
          <w:sz w:val="20"/>
          <w:szCs w:val="20"/>
        </w:rPr>
        <w:t>This review found weak evidence indicating that intra</w:t>
      </w:r>
      <w:r w:rsidRPr="006D3310">
        <w:rPr>
          <w:rFonts w:ascii="Cambria Math" w:eastAsia="Times New Roman" w:hAnsi="Cambria Math" w:cs="Cambria Math"/>
          <w:color w:val="000000" w:themeColor="text1"/>
          <w:sz w:val="20"/>
          <w:szCs w:val="20"/>
        </w:rPr>
        <w:t>‐</w:t>
      </w:r>
      <w:r w:rsidRPr="006D3310">
        <w:rPr>
          <w:rFonts w:ascii="Arial" w:eastAsia="Times New Roman" w:hAnsi="Arial" w:cs="Arial"/>
          <w:color w:val="000000" w:themeColor="text1"/>
          <w:sz w:val="20"/>
          <w:szCs w:val="20"/>
        </w:rPr>
        <w:t>articular</w:t>
      </w:r>
      <w:r w:rsidRPr="006D3310">
        <w:rPr>
          <w:rFonts w:ascii="Arial" w:eastAsia="Times New Roman" w:hAnsi="Arial" w:cs="Arial"/>
          <w:color w:val="000000" w:themeColor="text1"/>
          <w:sz w:val="20"/>
        </w:rPr>
        <w:t> </w:t>
      </w:r>
      <w:hyperlink r:id="rId17" w:history="1">
        <w:r w:rsidRPr="006D3310">
          <w:rPr>
            <w:rFonts w:ascii="Arial" w:eastAsia="Times New Roman" w:hAnsi="Arial" w:cs="Arial"/>
            <w:color w:val="000000" w:themeColor="text1"/>
            <w:sz w:val="20"/>
            <w:u w:val="single"/>
          </w:rPr>
          <w:t>injections</w:t>
        </w:r>
      </w:hyperlink>
      <w:r w:rsidRPr="006D3310">
        <w:rPr>
          <w:rFonts w:ascii="Arial" w:eastAsia="Times New Roman" w:hAnsi="Arial" w:cs="Arial"/>
          <w:color w:val="000000" w:themeColor="text1"/>
          <w:sz w:val="20"/>
        </w:rPr>
        <w:t> </w:t>
      </w:r>
      <w:r w:rsidRPr="006D3310">
        <w:rPr>
          <w:rFonts w:ascii="Arial" w:eastAsia="Times New Roman" w:hAnsi="Arial" w:cs="Arial"/>
          <w:color w:val="000000" w:themeColor="text1"/>
          <w:sz w:val="20"/>
          <w:szCs w:val="20"/>
        </w:rPr>
        <w:t>of sodium</w:t>
      </w:r>
      <w:r w:rsidRPr="006D3310">
        <w:rPr>
          <w:rFonts w:ascii="Arial" w:eastAsia="Times New Roman" w:hAnsi="Arial" w:cs="Arial"/>
          <w:color w:val="000000" w:themeColor="text1"/>
          <w:sz w:val="20"/>
        </w:rPr>
        <w:t> </w:t>
      </w:r>
      <w:hyperlink r:id="rId18" w:history="1">
        <w:r w:rsidRPr="006D3310">
          <w:rPr>
            <w:rFonts w:ascii="Arial" w:eastAsia="Times New Roman" w:hAnsi="Arial" w:cs="Arial"/>
            <w:color w:val="000000" w:themeColor="text1"/>
            <w:sz w:val="20"/>
            <w:u w:val="single"/>
          </w:rPr>
          <w:t>hyaluronate</w:t>
        </w:r>
      </w:hyperlink>
      <w:r w:rsidRPr="006D3310">
        <w:rPr>
          <w:rFonts w:ascii="Arial" w:eastAsia="Times New Roman" w:hAnsi="Arial" w:cs="Arial"/>
          <w:color w:val="000000" w:themeColor="text1"/>
          <w:sz w:val="20"/>
        </w:rPr>
        <w:t> </w:t>
      </w:r>
      <w:r w:rsidRPr="006D3310">
        <w:rPr>
          <w:rFonts w:ascii="Arial" w:eastAsia="Times New Roman" w:hAnsi="Arial" w:cs="Arial"/>
          <w:color w:val="000000" w:themeColor="text1"/>
          <w:sz w:val="20"/>
          <w:szCs w:val="20"/>
        </w:rPr>
        <w:t>(a natural constituent of</w:t>
      </w:r>
      <w:r w:rsidRPr="006D3310">
        <w:rPr>
          <w:rFonts w:ascii="Arial" w:eastAsia="Times New Roman" w:hAnsi="Arial" w:cs="Arial"/>
          <w:color w:val="000000" w:themeColor="text1"/>
          <w:sz w:val="20"/>
        </w:rPr>
        <w:t> </w:t>
      </w:r>
      <w:hyperlink r:id="rId19" w:history="1">
        <w:r w:rsidRPr="006D3310">
          <w:rPr>
            <w:rFonts w:ascii="Arial" w:eastAsia="Times New Roman" w:hAnsi="Arial" w:cs="Arial"/>
            <w:color w:val="000000" w:themeColor="text1"/>
            <w:sz w:val="20"/>
            <w:u w:val="single"/>
          </w:rPr>
          <w:t>cartilage</w:t>
        </w:r>
      </w:hyperlink>
      <w:r w:rsidRPr="006D3310">
        <w:rPr>
          <w:rFonts w:ascii="Arial" w:eastAsia="Times New Roman" w:hAnsi="Arial" w:cs="Arial"/>
          <w:color w:val="000000" w:themeColor="text1"/>
          <w:sz w:val="20"/>
          <w:szCs w:val="20"/>
        </w:rPr>
        <w:t>) and</w:t>
      </w:r>
      <w:r w:rsidRPr="006D3310">
        <w:rPr>
          <w:rFonts w:ascii="Arial" w:eastAsia="Times New Roman" w:hAnsi="Arial" w:cs="Arial"/>
          <w:color w:val="000000" w:themeColor="text1"/>
          <w:sz w:val="20"/>
        </w:rPr>
        <w:t> </w:t>
      </w:r>
      <w:hyperlink r:id="rId20" w:history="1">
        <w:r w:rsidRPr="006D3310">
          <w:rPr>
            <w:rFonts w:ascii="Arial" w:eastAsia="Times New Roman" w:hAnsi="Arial" w:cs="Arial"/>
            <w:color w:val="000000" w:themeColor="text1"/>
            <w:sz w:val="20"/>
            <w:u w:val="single"/>
          </w:rPr>
          <w:t>betamethasone</w:t>
        </w:r>
      </w:hyperlink>
      <w:r w:rsidRPr="006D3310">
        <w:rPr>
          <w:rFonts w:ascii="Arial" w:eastAsia="Times New Roman" w:hAnsi="Arial" w:cs="Arial"/>
          <w:color w:val="000000" w:themeColor="text1"/>
          <w:sz w:val="20"/>
        </w:rPr>
        <w:t> </w:t>
      </w:r>
      <w:r w:rsidRPr="006D3310">
        <w:rPr>
          <w:rFonts w:ascii="Arial" w:eastAsia="Times New Roman" w:hAnsi="Arial" w:cs="Arial"/>
          <w:color w:val="000000" w:themeColor="text1"/>
          <w:sz w:val="20"/>
          <w:szCs w:val="20"/>
        </w:rPr>
        <w:t>(an anti</w:t>
      </w:r>
      <w:r w:rsidRPr="006D3310">
        <w:rPr>
          <w:rFonts w:ascii="Cambria Math" w:eastAsia="Times New Roman" w:hAnsi="Cambria Math" w:cs="Cambria Math"/>
          <w:color w:val="000000" w:themeColor="text1"/>
          <w:sz w:val="20"/>
          <w:szCs w:val="20"/>
        </w:rPr>
        <w:t>‐</w:t>
      </w:r>
      <w:r w:rsidRPr="006D3310">
        <w:rPr>
          <w:rFonts w:ascii="Arial" w:eastAsia="Times New Roman" w:hAnsi="Arial" w:cs="Arial"/>
          <w:color w:val="000000" w:themeColor="text1"/>
          <w:sz w:val="20"/>
          <w:szCs w:val="20"/>
        </w:rPr>
        <w:t>inflammatory steroid) had equivalent effectiveness in reducing pain and discomfort. Occlusal appliances when compared with</w:t>
      </w:r>
      <w:r w:rsidRPr="006D3310">
        <w:rPr>
          <w:rFonts w:ascii="Arial" w:eastAsia="Times New Roman" w:hAnsi="Arial" w:cs="Arial"/>
          <w:color w:val="000000" w:themeColor="text1"/>
          <w:sz w:val="20"/>
        </w:rPr>
        <w:t> </w:t>
      </w:r>
      <w:hyperlink r:id="rId21" w:history="1">
        <w:r w:rsidRPr="006D3310">
          <w:rPr>
            <w:rFonts w:ascii="Arial" w:eastAsia="Times New Roman" w:hAnsi="Arial" w:cs="Arial"/>
            <w:color w:val="000000" w:themeColor="text1"/>
            <w:sz w:val="20"/>
            <w:u w:val="single"/>
          </w:rPr>
          <w:t>diclofenac</w:t>
        </w:r>
      </w:hyperlink>
      <w:r w:rsidRPr="006D3310">
        <w:rPr>
          <w:rFonts w:ascii="Arial" w:eastAsia="Times New Roman" w:hAnsi="Arial" w:cs="Arial"/>
          <w:color w:val="000000" w:themeColor="text1"/>
          <w:sz w:val="20"/>
        </w:rPr>
        <w:t> </w:t>
      </w:r>
      <w:r w:rsidRPr="006D3310">
        <w:rPr>
          <w:rFonts w:ascii="Arial" w:eastAsia="Times New Roman" w:hAnsi="Arial" w:cs="Arial"/>
          <w:color w:val="000000" w:themeColor="text1"/>
          <w:sz w:val="20"/>
          <w:szCs w:val="20"/>
        </w:rPr>
        <w:t>sodium (a non</w:t>
      </w:r>
      <w:r w:rsidRPr="006D3310">
        <w:rPr>
          <w:rFonts w:ascii="Cambria Math" w:eastAsia="Times New Roman" w:hAnsi="Cambria Math" w:cs="Cambria Math"/>
          <w:color w:val="000000" w:themeColor="text1"/>
          <w:sz w:val="20"/>
          <w:szCs w:val="20"/>
        </w:rPr>
        <w:t>‐</w:t>
      </w:r>
      <w:r w:rsidRPr="006D3310">
        <w:rPr>
          <w:rFonts w:ascii="Arial" w:eastAsia="Times New Roman" w:hAnsi="Arial" w:cs="Arial"/>
          <w:color w:val="000000" w:themeColor="text1"/>
          <w:sz w:val="20"/>
          <w:szCs w:val="20"/>
        </w:rPr>
        <w:t>steroid anti</w:t>
      </w:r>
      <w:r w:rsidRPr="006D3310">
        <w:rPr>
          <w:rFonts w:ascii="Cambria Math" w:eastAsia="Times New Roman" w:hAnsi="Cambria Math" w:cs="Cambria Math"/>
          <w:color w:val="000000" w:themeColor="text1"/>
          <w:sz w:val="20"/>
          <w:szCs w:val="20"/>
        </w:rPr>
        <w:t>‐</w:t>
      </w:r>
      <w:r w:rsidRPr="006D3310">
        <w:rPr>
          <w:rFonts w:ascii="Arial" w:eastAsia="Times New Roman" w:hAnsi="Arial" w:cs="Arial"/>
          <w:color w:val="000000" w:themeColor="text1"/>
          <w:sz w:val="20"/>
          <w:szCs w:val="20"/>
        </w:rPr>
        <w:t>inflammatory drug) showed a similar pain reduction, as did a comparison between the food supplement glucosamine and</w:t>
      </w:r>
      <w:r w:rsidRPr="006D3310">
        <w:rPr>
          <w:rFonts w:ascii="Arial" w:eastAsia="Times New Roman" w:hAnsi="Arial" w:cs="Arial"/>
          <w:color w:val="000000" w:themeColor="text1"/>
          <w:sz w:val="20"/>
        </w:rPr>
        <w:t> </w:t>
      </w:r>
      <w:hyperlink r:id="rId22" w:history="1">
        <w:r w:rsidRPr="006D3310">
          <w:rPr>
            <w:rFonts w:ascii="Arial" w:eastAsia="Times New Roman" w:hAnsi="Arial" w:cs="Arial"/>
            <w:color w:val="000000" w:themeColor="text1"/>
            <w:sz w:val="20"/>
            <w:u w:val="single"/>
          </w:rPr>
          <w:t>ibuprofen</w:t>
        </w:r>
      </w:hyperlink>
      <w:r w:rsidRPr="006D3310">
        <w:rPr>
          <w:rFonts w:ascii="Arial" w:eastAsia="Times New Roman" w:hAnsi="Arial" w:cs="Arial"/>
          <w:color w:val="000000" w:themeColor="text1"/>
          <w:sz w:val="20"/>
        </w:rPr>
        <w:t> </w:t>
      </w:r>
      <w:r w:rsidRPr="006D3310">
        <w:rPr>
          <w:rFonts w:ascii="Arial" w:eastAsia="Times New Roman" w:hAnsi="Arial" w:cs="Arial"/>
          <w:color w:val="000000" w:themeColor="text1"/>
          <w:sz w:val="20"/>
          <w:szCs w:val="20"/>
        </w:rPr>
        <w:t>(a non</w:t>
      </w:r>
      <w:r w:rsidRPr="006D3310">
        <w:rPr>
          <w:rFonts w:ascii="Cambria Math" w:eastAsia="Times New Roman" w:hAnsi="Cambria Math" w:cs="Cambria Math"/>
          <w:color w:val="000000" w:themeColor="text1"/>
          <w:sz w:val="20"/>
          <w:szCs w:val="20"/>
        </w:rPr>
        <w:t>‐</w:t>
      </w:r>
      <w:r w:rsidRPr="006D3310">
        <w:rPr>
          <w:rFonts w:ascii="Arial" w:eastAsia="Times New Roman" w:hAnsi="Arial" w:cs="Arial"/>
          <w:color w:val="000000" w:themeColor="text1"/>
          <w:sz w:val="20"/>
          <w:szCs w:val="20"/>
        </w:rPr>
        <w:t>steroid anti</w:t>
      </w:r>
      <w:r w:rsidRPr="006D3310">
        <w:rPr>
          <w:rFonts w:ascii="Cambria Math" w:eastAsia="Times New Roman" w:hAnsi="Cambria Math" w:cs="Cambria Math"/>
          <w:color w:val="000000" w:themeColor="text1"/>
          <w:sz w:val="20"/>
          <w:szCs w:val="20"/>
        </w:rPr>
        <w:t>‐</w:t>
      </w:r>
      <w:r w:rsidRPr="006D3310">
        <w:rPr>
          <w:rFonts w:ascii="Arial" w:eastAsia="Times New Roman" w:hAnsi="Arial" w:cs="Arial"/>
          <w:color w:val="000000" w:themeColor="text1"/>
          <w:sz w:val="20"/>
          <w:szCs w:val="20"/>
        </w:rPr>
        <w:t>inflammatory).</w:t>
      </w:r>
    </w:p>
    <w:p w:rsidR="006D3310" w:rsidRPr="006D3310" w:rsidRDefault="006D3310" w:rsidP="006D3310">
      <w:pPr>
        <w:shd w:val="clear" w:color="auto" w:fill="FFFFFF"/>
        <w:spacing w:before="166" w:after="166" w:line="240" w:lineRule="auto"/>
        <w:rPr>
          <w:rFonts w:ascii="Arial" w:eastAsia="Times New Roman" w:hAnsi="Arial" w:cs="Arial"/>
          <w:color w:val="000000" w:themeColor="text1"/>
          <w:sz w:val="20"/>
          <w:szCs w:val="20"/>
        </w:rPr>
      </w:pPr>
      <w:r w:rsidRPr="006D3310">
        <w:rPr>
          <w:rFonts w:ascii="Arial" w:eastAsia="Times New Roman" w:hAnsi="Arial" w:cs="Arial"/>
          <w:color w:val="000000" w:themeColor="text1"/>
          <w:sz w:val="20"/>
          <w:szCs w:val="20"/>
        </w:rPr>
        <w:t>Future studies should aim to provide reliable information about which</w:t>
      </w:r>
      <w:r w:rsidRPr="006D3310">
        <w:rPr>
          <w:rFonts w:ascii="Arial" w:eastAsia="Times New Roman" w:hAnsi="Arial" w:cs="Arial"/>
          <w:color w:val="000000" w:themeColor="text1"/>
          <w:sz w:val="20"/>
        </w:rPr>
        <w:t> </w:t>
      </w:r>
      <w:hyperlink r:id="rId23" w:history="1">
        <w:r w:rsidRPr="006D3310">
          <w:rPr>
            <w:rFonts w:ascii="Arial" w:eastAsia="Times New Roman" w:hAnsi="Arial" w:cs="Arial"/>
            <w:color w:val="000000" w:themeColor="text1"/>
            <w:sz w:val="20"/>
            <w:u w:val="single"/>
          </w:rPr>
          <w:t>therapeutic</w:t>
        </w:r>
      </w:hyperlink>
      <w:r w:rsidRPr="006D3310">
        <w:rPr>
          <w:rFonts w:ascii="Arial" w:eastAsia="Times New Roman" w:hAnsi="Arial" w:cs="Arial"/>
          <w:color w:val="000000" w:themeColor="text1"/>
          <w:sz w:val="20"/>
        </w:rPr>
        <w:t> </w:t>
      </w:r>
      <w:r w:rsidRPr="006D3310">
        <w:rPr>
          <w:rFonts w:ascii="Arial" w:eastAsia="Times New Roman" w:hAnsi="Arial" w:cs="Arial"/>
          <w:color w:val="000000" w:themeColor="text1"/>
          <w:sz w:val="20"/>
          <w:szCs w:val="20"/>
        </w:rPr>
        <w:t>modality is likely to be more effective for the reduction of pain and other symptoms (e.g.</w:t>
      </w:r>
      <w:r w:rsidRPr="006D3310">
        <w:rPr>
          <w:rFonts w:ascii="Arial" w:eastAsia="Times New Roman" w:hAnsi="Arial" w:cs="Arial"/>
          <w:color w:val="000000" w:themeColor="text1"/>
          <w:sz w:val="20"/>
        </w:rPr>
        <w:t> </w:t>
      </w:r>
      <w:hyperlink r:id="rId24" w:history="1">
        <w:r w:rsidRPr="006D3310">
          <w:rPr>
            <w:rFonts w:ascii="Arial" w:eastAsia="Times New Roman" w:hAnsi="Arial" w:cs="Arial"/>
            <w:color w:val="000000" w:themeColor="text1"/>
            <w:sz w:val="20"/>
            <w:u w:val="single"/>
          </w:rPr>
          <w:t>joint</w:t>
        </w:r>
      </w:hyperlink>
      <w:r w:rsidRPr="006D3310">
        <w:rPr>
          <w:rFonts w:ascii="Arial" w:eastAsia="Times New Roman" w:hAnsi="Arial" w:cs="Arial"/>
          <w:color w:val="000000" w:themeColor="text1"/>
          <w:sz w:val="20"/>
        </w:rPr>
        <w:t> </w:t>
      </w:r>
      <w:r w:rsidRPr="006D3310">
        <w:rPr>
          <w:rFonts w:ascii="Arial" w:eastAsia="Times New Roman" w:hAnsi="Arial" w:cs="Arial"/>
          <w:color w:val="000000" w:themeColor="text1"/>
          <w:sz w:val="20"/>
          <w:szCs w:val="20"/>
        </w:rPr>
        <w:t>sounds) of TMJ OA. Moreover, because the limited evidence available only covers a restricted number of</w:t>
      </w:r>
      <w:r w:rsidRPr="006D3310">
        <w:rPr>
          <w:rFonts w:ascii="Arial" w:eastAsia="Times New Roman" w:hAnsi="Arial" w:cs="Arial"/>
          <w:color w:val="000000" w:themeColor="text1"/>
          <w:sz w:val="20"/>
        </w:rPr>
        <w:t> </w:t>
      </w:r>
      <w:hyperlink r:id="rId25" w:history="1">
        <w:r w:rsidRPr="006D3310">
          <w:rPr>
            <w:rFonts w:ascii="Arial" w:eastAsia="Times New Roman" w:hAnsi="Arial" w:cs="Arial"/>
            <w:color w:val="000000" w:themeColor="text1"/>
            <w:sz w:val="20"/>
            <w:u w:val="single"/>
          </w:rPr>
          <w:t>interventions</w:t>
        </w:r>
      </w:hyperlink>
      <w:r w:rsidRPr="006D3310">
        <w:rPr>
          <w:rFonts w:ascii="Arial" w:eastAsia="Times New Roman" w:hAnsi="Arial" w:cs="Arial"/>
          <w:color w:val="000000" w:themeColor="text1"/>
          <w:sz w:val="20"/>
          <w:szCs w:val="20"/>
        </w:rPr>
        <w:t>, comparisons with other therapeutic modalities should be encouraged. One of the authors' concerns was the large number of trials which included mixed groups of participants diagnosed with TMJ OA, in addition to other disorders of the TMJ, which could not be considered in this review.</w:t>
      </w:r>
    </w:p>
    <w:p w:rsidR="00531259" w:rsidRPr="006D3310" w:rsidRDefault="006D3310">
      <w:pPr>
        <w:rPr>
          <w:color w:val="000000" w:themeColor="text1"/>
        </w:rPr>
      </w:pPr>
      <w:r w:rsidRPr="006D3310">
        <w:rPr>
          <w:rFonts w:ascii="Arial" w:hAnsi="Arial" w:cs="Arial"/>
          <w:b/>
          <w:bCs/>
          <w:color w:val="000000" w:themeColor="text1"/>
          <w:sz w:val="20"/>
          <w:szCs w:val="20"/>
          <w:shd w:val="clear" w:color="auto" w:fill="FFFFFF"/>
        </w:rPr>
        <w:t>Background:</w:t>
      </w:r>
      <w:r w:rsidRPr="006D3310">
        <w:rPr>
          <w:rStyle w:val="apple-converted-space"/>
          <w:rFonts w:ascii="Arial" w:hAnsi="Arial" w:cs="Arial"/>
          <w:color w:val="000000" w:themeColor="text1"/>
          <w:sz w:val="20"/>
          <w:szCs w:val="20"/>
          <w:shd w:val="clear" w:color="auto" w:fill="FFFFFF"/>
        </w:rPr>
        <w:t> </w:t>
      </w:r>
      <w:hyperlink r:id="rId26" w:history="1">
        <w:r w:rsidRPr="006D3310">
          <w:rPr>
            <w:rStyle w:val="Hyperlink"/>
            <w:rFonts w:ascii="Arial" w:hAnsi="Arial" w:cs="Arial"/>
            <w:color w:val="000000" w:themeColor="text1"/>
            <w:sz w:val="20"/>
            <w:szCs w:val="20"/>
            <w:shd w:val="clear" w:color="auto" w:fill="FFFFFF"/>
          </w:rPr>
          <w:t>Osteoarthritis</w:t>
        </w:r>
      </w:hyperlink>
      <w:r w:rsidRPr="006D3310">
        <w:rPr>
          <w:rStyle w:val="apple-converted-space"/>
          <w:rFonts w:ascii="Arial" w:hAnsi="Arial" w:cs="Arial"/>
          <w:color w:val="000000" w:themeColor="text1"/>
          <w:sz w:val="20"/>
          <w:szCs w:val="20"/>
          <w:shd w:val="clear" w:color="auto" w:fill="FFFFFF"/>
        </w:rPr>
        <w:t> </w:t>
      </w:r>
      <w:r w:rsidRPr="006D3310">
        <w:rPr>
          <w:rFonts w:ascii="Arial" w:hAnsi="Arial" w:cs="Arial"/>
          <w:color w:val="000000" w:themeColor="text1"/>
          <w:sz w:val="20"/>
          <w:szCs w:val="20"/>
          <w:shd w:val="clear" w:color="auto" w:fill="FFFFFF"/>
        </w:rPr>
        <w:t>(OA) is the most common form of</w:t>
      </w:r>
      <w:r w:rsidRPr="006D3310">
        <w:rPr>
          <w:rStyle w:val="apple-converted-space"/>
          <w:rFonts w:ascii="Arial" w:hAnsi="Arial" w:cs="Arial"/>
          <w:color w:val="000000" w:themeColor="text1"/>
          <w:sz w:val="20"/>
          <w:szCs w:val="20"/>
          <w:shd w:val="clear" w:color="auto" w:fill="FFFFFF"/>
        </w:rPr>
        <w:t> </w:t>
      </w:r>
      <w:hyperlink r:id="rId27" w:history="1">
        <w:r w:rsidRPr="006D3310">
          <w:rPr>
            <w:rStyle w:val="Hyperlink"/>
            <w:rFonts w:ascii="Arial" w:hAnsi="Arial" w:cs="Arial"/>
            <w:color w:val="000000" w:themeColor="text1"/>
            <w:sz w:val="20"/>
            <w:szCs w:val="20"/>
            <w:shd w:val="clear" w:color="auto" w:fill="FFFFFF"/>
          </w:rPr>
          <w:t>arthritis</w:t>
        </w:r>
      </w:hyperlink>
      <w:r w:rsidRPr="006D3310">
        <w:rPr>
          <w:rStyle w:val="apple-converted-space"/>
          <w:rFonts w:ascii="Arial" w:hAnsi="Arial" w:cs="Arial"/>
          <w:color w:val="000000" w:themeColor="text1"/>
          <w:sz w:val="20"/>
          <w:szCs w:val="20"/>
          <w:shd w:val="clear" w:color="auto" w:fill="FFFFFF"/>
        </w:rPr>
        <w:t> </w:t>
      </w:r>
      <w:r w:rsidRPr="006D3310">
        <w:rPr>
          <w:rFonts w:ascii="Arial" w:hAnsi="Arial" w:cs="Arial"/>
          <w:color w:val="000000" w:themeColor="text1"/>
          <w:sz w:val="20"/>
          <w:szCs w:val="20"/>
          <w:shd w:val="clear" w:color="auto" w:fill="FFFFFF"/>
        </w:rPr>
        <w:t>of the</w:t>
      </w:r>
      <w:r w:rsidRPr="006D3310">
        <w:rPr>
          <w:rStyle w:val="apple-converted-space"/>
          <w:rFonts w:ascii="Arial" w:hAnsi="Arial" w:cs="Arial"/>
          <w:color w:val="000000" w:themeColor="text1"/>
          <w:sz w:val="20"/>
          <w:szCs w:val="20"/>
          <w:shd w:val="clear" w:color="auto" w:fill="FFFFFF"/>
        </w:rPr>
        <w:t> </w:t>
      </w:r>
      <w:hyperlink r:id="rId28" w:history="1">
        <w:r w:rsidRPr="006D3310">
          <w:rPr>
            <w:rStyle w:val="Hyperlink"/>
            <w:rFonts w:ascii="Arial" w:hAnsi="Arial" w:cs="Arial"/>
            <w:color w:val="000000" w:themeColor="text1"/>
            <w:sz w:val="20"/>
            <w:szCs w:val="20"/>
            <w:shd w:val="clear" w:color="auto" w:fill="FFFFFF"/>
          </w:rPr>
          <w:t>temporomandibular joint</w:t>
        </w:r>
      </w:hyperlink>
      <w:r w:rsidRPr="006D3310">
        <w:rPr>
          <w:rStyle w:val="apple-converted-space"/>
          <w:rFonts w:ascii="Arial" w:hAnsi="Arial" w:cs="Arial"/>
          <w:color w:val="000000" w:themeColor="text1"/>
          <w:sz w:val="20"/>
          <w:szCs w:val="20"/>
          <w:shd w:val="clear" w:color="auto" w:fill="FFFFFF"/>
        </w:rPr>
        <w:t> </w:t>
      </w:r>
      <w:r w:rsidRPr="006D3310">
        <w:rPr>
          <w:rFonts w:ascii="Arial" w:hAnsi="Arial" w:cs="Arial"/>
          <w:color w:val="000000" w:themeColor="text1"/>
          <w:sz w:val="20"/>
          <w:szCs w:val="20"/>
          <w:shd w:val="clear" w:color="auto" w:fill="FFFFFF"/>
        </w:rPr>
        <w:t>(TMJ), and can often lead to severe pain in the orofacial region. Management options for TMJ OA include reassurance, occlusal appliances, physical</w:t>
      </w:r>
      <w:r w:rsidRPr="006D3310">
        <w:rPr>
          <w:rStyle w:val="apple-converted-space"/>
          <w:rFonts w:ascii="Arial" w:hAnsi="Arial" w:cs="Arial"/>
          <w:color w:val="000000" w:themeColor="text1"/>
          <w:sz w:val="20"/>
          <w:szCs w:val="20"/>
          <w:shd w:val="clear" w:color="auto" w:fill="FFFFFF"/>
        </w:rPr>
        <w:t> </w:t>
      </w:r>
      <w:hyperlink r:id="rId29" w:history="1">
        <w:r w:rsidRPr="006D3310">
          <w:rPr>
            <w:rStyle w:val="Hyperlink"/>
            <w:rFonts w:ascii="Arial" w:hAnsi="Arial" w:cs="Arial"/>
            <w:color w:val="000000" w:themeColor="text1"/>
            <w:sz w:val="20"/>
            <w:szCs w:val="20"/>
            <w:shd w:val="clear" w:color="auto" w:fill="FFFFFF"/>
          </w:rPr>
          <w:t>therapy</w:t>
        </w:r>
      </w:hyperlink>
      <w:r w:rsidRPr="006D3310">
        <w:rPr>
          <w:rFonts w:ascii="Arial" w:hAnsi="Arial" w:cs="Arial"/>
          <w:color w:val="000000" w:themeColor="text1"/>
          <w:sz w:val="20"/>
          <w:szCs w:val="20"/>
          <w:shd w:val="clear" w:color="auto" w:fill="FFFFFF"/>
        </w:rPr>
        <w:t>, medication in addition to several surgical modalities.</w:t>
      </w:r>
    </w:p>
    <w:sectPr w:rsidR="00531259" w:rsidRPr="006D3310" w:rsidSect="001A3FB7">
      <w:headerReference w:type="default" r:id="rId30"/>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2921" w:rsidRDefault="00F32921" w:rsidP="006D3310">
      <w:pPr>
        <w:spacing w:after="0" w:line="240" w:lineRule="auto"/>
      </w:pPr>
      <w:r>
        <w:separator/>
      </w:r>
    </w:p>
  </w:endnote>
  <w:endnote w:type="continuationSeparator" w:id="1">
    <w:p w:rsidR="00F32921" w:rsidRDefault="00F32921" w:rsidP="006D331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2921" w:rsidRDefault="00F32921" w:rsidP="006D3310">
      <w:pPr>
        <w:spacing w:after="0" w:line="240" w:lineRule="auto"/>
      </w:pPr>
      <w:r>
        <w:separator/>
      </w:r>
    </w:p>
  </w:footnote>
  <w:footnote w:type="continuationSeparator" w:id="1">
    <w:p w:rsidR="00F32921" w:rsidRDefault="00F32921" w:rsidP="006D331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3310" w:rsidRDefault="006D3310" w:rsidP="006D3310">
    <w:pPr>
      <w:pStyle w:val="Heading1"/>
      <w:shd w:val="clear" w:color="auto" w:fill="FFFFFF"/>
      <w:spacing w:before="240" w:after="120"/>
      <w:rPr>
        <w:rFonts w:ascii="Arial" w:hAnsi="Arial" w:cs="Arial"/>
        <w:color w:val="14376C"/>
        <w:sz w:val="33"/>
        <w:szCs w:val="33"/>
      </w:rPr>
    </w:pPr>
    <w:r>
      <w:rPr>
        <w:rStyle w:val="title"/>
        <w:rFonts w:ascii="Arial" w:hAnsi="Arial" w:cs="Arial"/>
        <w:color w:val="14376C"/>
        <w:sz w:val="33"/>
        <w:szCs w:val="33"/>
      </w:rPr>
      <w:t>Interventions for treating osteoarthritis in the temporomandibular joint</w:t>
    </w:r>
    <w:r w:rsidR="00FC57BA">
      <w:rPr>
        <w:rStyle w:val="title"/>
        <w:rFonts w:ascii="Arial" w:hAnsi="Arial" w:cs="Arial"/>
        <w:color w:val="14376C"/>
        <w:sz w:val="33"/>
        <w:szCs w:val="33"/>
      </w:rPr>
      <w:t xml:space="preserve"> Addis Ababa Ethiopia</w:t>
    </w:r>
  </w:p>
  <w:p w:rsidR="006D3310" w:rsidRDefault="006D3310">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6D3310"/>
    <w:rsid w:val="001A3FB7"/>
    <w:rsid w:val="006D3310"/>
    <w:rsid w:val="00937660"/>
    <w:rsid w:val="00DE744B"/>
    <w:rsid w:val="00F32921"/>
    <w:rsid w:val="00FC57B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3FB7"/>
  </w:style>
  <w:style w:type="paragraph" w:styleId="Heading1">
    <w:name w:val="heading 1"/>
    <w:basedOn w:val="Normal"/>
    <w:next w:val="Normal"/>
    <w:link w:val="Heading1Char"/>
    <w:uiPriority w:val="9"/>
    <w:qFormat/>
    <w:rsid w:val="006D331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6D3310"/>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6D3310"/>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6D331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6D3310"/>
  </w:style>
  <w:style w:type="character" w:styleId="Hyperlink">
    <w:name w:val="Hyperlink"/>
    <w:basedOn w:val="DefaultParagraphFont"/>
    <w:uiPriority w:val="99"/>
    <w:semiHidden/>
    <w:unhideWhenUsed/>
    <w:rsid w:val="006D3310"/>
    <w:rPr>
      <w:color w:val="0000FF"/>
      <w:u w:val="single"/>
    </w:rPr>
  </w:style>
  <w:style w:type="paragraph" w:styleId="Header">
    <w:name w:val="header"/>
    <w:basedOn w:val="Normal"/>
    <w:link w:val="HeaderChar"/>
    <w:uiPriority w:val="99"/>
    <w:semiHidden/>
    <w:unhideWhenUsed/>
    <w:rsid w:val="006D3310"/>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D3310"/>
  </w:style>
  <w:style w:type="paragraph" w:styleId="Footer">
    <w:name w:val="footer"/>
    <w:basedOn w:val="Normal"/>
    <w:link w:val="FooterChar"/>
    <w:uiPriority w:val="99"/>
    <w:semiHidden/>
    <w:unhideWhenUsed/>
    <w:rsid w:val="006D331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D3310"/>
  </w:style>
  <w:style w:type="character" w:customStyle="1" w:styleId="Heading1Char">
    <w:name w:val="Heading 1 Char"/>
    <w:basedOn w:val="DefaultParagraphFont"/>
    <w:link w:val="Heading1"/>
    <w:uiPriority w:val="9"/>
    <w:rsid w:val="006D3310"/>
    <w:rPr>
      <w:rFonts w:asciiTheme="majorHAnsi" w:eastAsiaTheme="majorEastAsia" w:hAnsiTheme="majorHAnsi" w:cstheme="majorBidi"/>
      <w:b/>
      <w:bCs/>
      <w:color w:val="365F91" w:themeColor="accent1" w:themeShade="BF"/>
      <w:sz w:val="28"/>
      <w:szCs w:val="28"/>
    </w:rPr>
  </w:style>
  <w:style w:type="character" w:customStyle="1" w:styleId="title">
    <w:name w:val="title"/>
    <w:basedOn w:val="DefaultParagraphFont"/>
    <w:rsid w:val="006D3310"/>
  </w:style>
</w:styles>
</file>

<file path=word/webSettings.xml><?xml version="1.0" encoding="utf-8"?>
<w:webSettings xmlns:r="http://schemas.openxmlformats.org/officeDocument/2006/relationships" xmlns:w="http://schemas.openxmlformats.org/wordprocessingml/2006/main">
  <w:divs>
    <w:div w:id="293870946">
      <w:bodyDiv w:val="1"/>
      <w:marLeft w:val="0"/>
      <w:marRight w:val="0"/>
      <w:marTop w:val="0"/>
      <w:marBottom w:val="0"/>
      <w:divBdr>
        <w:top w:val="none" w:sz="0" w:space="0" w:color="auto"/>
        <w:left w:val="none" w:sz="0" w:space="0" w:color="auto"/>
        <w:bottom w:val="none" w:sz="0" w:space="0" w:color="auto"/>
        <w:right w:val="none" w:sz="0" w:space="0" w:color="auto"/>
      </w:divBdr>
    </w:div>
    <w:div w:id="731805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cbi.nlm.nih.gov/pubmedhealth/PMHT0024836" TargetMode="External"/><Relationship Id="rId13" Type="http://schemas.openxmlformats.org/officeDocument/2006/relationships/hyperlink" Target="https://www.ncbi.nlm.nih.gov/pubmedhealth/PMHT0022450" TargetMode="External"/><Relationship Id="rId18" Type="http://schemas.openxmlformats.org/officeDocument/2006/relationships/hyperlink" Target="https://www.ncbi.nlm.nih.gov/pubmedhealth/PMHT0000878" TargetMode="External"/><Relationship Id="rId26" Type="http://schemas.openxmlformats.org/officeDocument/2006/relationships/hyperlink" Target="https://www.ncbi.nlm.nih.gov/pubmedhealth/PMHT0024679" TargetMode="External"/><Relationship Id="rId3" Type="http://schemas.openxmlformats.org/officeDocument/2006/relationships/webSettings" Target="webSettings.xml"/><Relationship Id="rId21" Type="http://schemas.openxmlformats.org/officeDocument/2006/relationships/hyperlink" Target="https://www.ncbi.nlm.nih.gov/pubmedhealth/PMHT0000561" TargetMode="External"/><Relationship Id="rId7" Type="http://schemas.openxmlformats.org/officeDocument/2006/relationships/hyperlink" Target="https://www.ncbi.nlm.nih.gov/pubmedhealth/PMHT0022358" TargetMode="External"/><Relationship Id="rId12" Type="http://schemas.openxmlformats.org/officeDocument/2006/relationships/hyperlink" Target="https://www.ncbi.nlm.nih.gov/pubmedhealth/PMHT0022343" TargetMode="External"/><Relationship Id="rId17" Type="http://schemas.openxmlformats.org/officeDocument/2006/relationships/hyperlink" Target="https://www.ncbi.nlm.nih.gov/pubmedhealth/PMHT0022222" TargetMode="External"/><Relationship Id="rId25" Type="http://schemas.openxmlformats.org/officeDocument/2006/relationships/hyperlink" Target="https://www.ncbi.nlm.nih.gov/pubmedhealth/PMHT0025841" TargetMode="External"/><Relationship Id="rId2" Type="http://schemas.openxmlformats.org/officeDocument/2006/relationships/settings" Target="settings.xml"/><Relationship Id="rId16" Type="http://schemas.openxmlformats.org/officeDocument/2006/relationships/hyperlink" Target="https://www.ncbi.nlm.nih.gov/pubmedhealth/PMHT0022222" TargetMode="External"/><Relationship Id="rId20" Type="http://schemas.openxmlformats.org/officeDocument/2006/relationships/hyperlink" Target="https://www.ncbi.nlm.nih.gov/pubmedhealth/PMHT0000236" TargetMode="External"/><Relationship Id="rId29" Type="http://schemas.openxmlformats.org/officeDocument/2006/relationships/hyperlink" Target="https://www.ncbi.nlm.nih.gov/pubmedhealth/PMHT0022340" TargetMode="External"/><Relationship Id="rId1" Type="http://schemas.openxmlformats.org/officeDocument/2006/relationships/styles" Target="styles.xml"/><Relationship Id="rId6" Type="http://schemas.openxmlformats.org/officeDocument/2006/relationships/hyperlink" Target="https://www.ncbi.nlm.nih.gov/pubmedhealth/PMHT0025333" TargetMode="External"/><Relationship Id="rId11" Type="http://schemas.openxmlformats.org/officeDocument/2006/relationships/hyperlink" Target="https://www.ncbi.nlm.nih.gov/pubmedhealth/PMHT0022340" TargetMode="External"/><Relationship Id="rId24" Type="http://schemas.openxmlformats.org/officeDocument/2006/relationships/hyperlink" Target="https://www.ncbi.nlm.nih.gov/pubmedhealth/PMHT0022450" TargetMode="External"/><Relationship Id="rId32" Type="http://schemas.openxmlformats.org/officeDocument/2006/relationships/theme" Target="theme/theme1.xml"/><Relationship Id="rId5" Type="http://schemas.openxmlformats.org/officeDocument/2006/relationships/endnotes" Target="endnotes.xml"/><Relationship Id="rId15" Type="http://schemas.openxmlformats.org/officeDocument/2006/relationships/hyperlink" Target="https://www.ncbi.nlm.nih.gov/pubmedhealth/PMHT0022340" TargetMode="External"/><Relationship Id="rId23" Type="http://schemas.openxmlformats.org/officeDocument/2006/relationships/hyperlink" Target="https://www.ncbi.nlm.nih.gov/pubmedhealth/PMHT0022343" TargetMode="External"/><Relationship Id="rId28" Type="http://schemas.openxmlformats.org/officeDocument/2006/relationships/hyperlink" Target="https://www.ncbi.nlm.nih.gov/pubmedhealth/PMHT0025333" TargetMode="External"/><Relationship Id="rId10" Type="http://schemas.openxmlformats.org/officeDocument/2006/relationships/hyperlink" Target="https://www.ncbi.nlm.nih.gov/pubmedhealth/PMHT0024679" TargetMode="External"/><Relationship Id="rId19" Type="http://schemas.openxmlformats.org/officeDocument/2006/relationships/hyperlink" Target="https://www.ncbi.nlm.nih.gov/pubmedhealth/PMHT0022813" TargetMode="External"/><Relationship Id="rId31"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s://www.ncbi.nlm.nih.gov/pubmedhealth/PMHT0022450" TargetMode="External"/><Relationship Id="rId14" Type="http://schemas.openxmlformats.org/officeDocument/2006/relationships/hyperlink" Target="https://www.ncbi.nlm.nih.gov/pubmedhealth/PMHT0025841" TargetMode="External"/><Relationship Id="rId22" Type="http://schemas.openxmlformats.org/officeDocument/2006/relationships/hyperlink" Target="https://www.ncbi.nlm.nih.gov/pubmedhealth/PMHT0000915" TargetMode="External"/><Relationship Id="rId27" Type="http://schemas.openxmlformats.org/officeDocument/2006/relationships/hyperlink" Target="https://www.ncbi.nlm.nih.gov/pubmedhealth/PMHT0024677" TargetMode="External"/><Relationship Id="rId3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1</Pages>
  <Words>607</Words>
  <Characters>3465</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2017-05-12T13:34:00Z</dcterms:created>
  <dcterms:modified xsi:type="dcterms:W3CDTF">2017-05-12T13:54:00Z</dcterms:modified>
</cp:coreProperties>
</file>