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8B2" w:rsidRPr="00CE28B2" w:rsidRDefault="00CE28B2" w:rsidP="00CE28B2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E28B2">
        <w:rPr>
          <w:rFonts w:asciiTheme="majorBidi" w:hAnsiTheme="majorBidi" w:cstheme="majorBidi"/>
          <w:b/>
          <w:bCs/>
          <w:sz w:val="28"/>
          <w:szCs w:val="28"/>
          <w:u w:val="single"/>
        </w:rPr>
        <w:t>Oral and dental health status of children with chronic renal failure (CRF)</w:t>
      </w:r>
    </w:p>
    <w:p w:rsidR="00CE28B2" w:rsidRDefault="00CE28B2" w:rsidP="00CE28B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CE28B2" w:rsidRPr="00CE28B2" w:rsidRDefault="00CE28B2" w:rsidP="00CE28B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CE28B2">
        <w:rPr>
          <w:rFonts w:asciiTheme="majorBidi" w:hAnsiTheme="majorBidi" w:cstheme="majorBidi"/>
          <w:sz w:val="24"/>
          <w:szCs w:val="24"/>
        </w:rPr>
        <w:t>S. A. MOUSSA</w:t>
      </w:r>
      <w:r w:rsidRPr="00215FFA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CE28B2">
        <w:rPr>
          <w:rFonts w:asciiTheme="majorBidi" w:hAnsiTheme="majorBidi" w:cstheme="majorBidi"/>
          <w:sz w:val="24"/>
          <w:szCs w:val="24"/>
        </w:rPr>
        <w:t xml:space="preserve"> &amp; S. Y. AL-BAUOMY</w:t>
      </w:r>
      <w:r w:rsidRPr="00215FFA">
        <w:rPr>
          <w:rFonts w:asciiTheme="majorBidi" w:hAnsiTheme="majorBidi" w:cstheme="majorBidi"/>
          <w:sz w:val="24"/>
          <w:szCs w:val="24"/>
          <w:vertAlign w:val="superscript"/>
        </w:rPr>
        <w:t>2</w:t>
      </w:r>
    </w:p>
    <w:p w:rsidR="00CE28B2" w:rsidRPr="00CE28B2" w:rsidRDefault="00CE28B2" w:rsidP="00CE28B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215FFA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CE28B2">
        <w:rPr>
          <w:rFonts w:asciiTheme="majorBidi" w:hAnsiTheme="majorBidi" w:cstheme="majorBidi"/>
          <w:sz w:val="24"/>
          <w:szCs w:val="24"/>
        </w:rPr>
        <w:t xml:space="preserve">Dental Department, Primary Health Care </w:t>
      </w:r>
      <w:proofErr w:type="spellStart"/>
      <w:r w:rsidRPr="00CE28B2">
        <w:rPr>
          <w:rFonts w:asciiTheme="majorBidi" w:hAnsiTheme="majorBidi" w:cstheme="majorBidi"/>
          <w:sz w:val="24"/>
          <w:szCs w:val="24"/>
        </w:rPr>
        <w:t>Coopration</w:t>
      </w:r>
      <w:proofErr w:type="spellEnd"/>
      <w:r w:rsidRPr="00CE28B2">
        <w:rPr>
          <w:rFonts w:asciiTheme="majorBidi" w:hAnsiTheme="majorBidi" w:cstheme="majorBidi"/>
          <w:sz w:val="24"/>
          <w:szCs w:val="24"/>
        </w:rPr>
        <w:t>, Doha,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E28B2">
        <w:rPr>
          <w:rFonts w:asciiTheme="majorBidi" w:hAnsiTheme="majorBidi" w:cstheme="majorBidi"/>
          <w:sz w:val="24"/>
          <w:szCs w:val="24"/>
        </w:rPr>
        <w:t xml:space="preserve">Qatar; </w:t>
      </w:r>
      <w:r w:rsidRPr="00215FFA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CE28B2">
        <w:rPr>
          <w:rFonts w:asciiTheme="majorBidi" w:hAnsiTheme="majorBidi" w:cstheme="majorBidi"/>
          <w:sz w:val="24"/>
          <w:szCs w:val="24"/>
        </w:rPr>
        <w:t>Pedatric Dentistry and Oral Public Health, Al-</w:t>
      </w:r>
      <w:proofErr w:type="spellStart"/>
      <w:r w:rsidRPr="00CE28B2">
        <w:rPr>
          <w:rFonts w:asciiTheme="majorBidi" w:hAnsiTheme="majorBidi" w:cstheme="majorBidi"/>
          <w:sz w:val="24"/>
          <w:szCs w:val="24"/>
        </w:rPr>
        <w:t>Azhar</w:t>
      </w:r>
      <w:proofErr w:type="spellEnd"/>
      <w:r w:rsidRPr="00CE28B2">
        <w:rPr>
          <w:rFonts w:asciiTheme="majorBidi" w:hAnsiTheme="majorBidi" w:cstheme="majorBidi"/>
          <w:sz w:val="24"/>
          <w:szCs w:val="24"/>
        </w:rPr>
        <w:t xml:space="preserve"> University, Cairo, Egypt</w:t>
      </w:r>
    </w:p>
    <w:p w:rsidR="00CE28B2" w:rsidRDefault="00CE28B2" w:rsidP="00CE28B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6C4F3B" w:rsidRPr="00CE28B2" w:rsidRDefault="00CE28B2" w:rsidP="00215FF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215FFA">
        <w:rPr>
          <w:rFonts w:asciiTheme="majorBidi" w:hAnsiTheme="majorBidi" w:cstheme="majorBidi"/>
          <w:b/>
          <w:bCs/>
          <w:sz w:val="28"/>
          <w:szCs w:val="28"/>
          <w:u w:val="single"/>
        </w:rPr>
        <w:t>Background:</w:t>
      </w:r>
      <w:r w:rsidRPr="00CE28B2">
        <w:rPr>
          <w:rFonts w:asciiTheme="majorBidi" w:hAnsiTheme="majorBidi" w:cstheme="majorBidi"/>
          <w:sz w:val="28"/>
          <w:szCs w:val="28"/>
        </w:rPr>
        <w:t xml:space="preserve"> Advances in pediatric-nephrology during the last two decades have resulted in a marked increase in the number of CRF-children’s survival. Improving their dental hygiene reduces the risk of infections as oral-cavity is considered as septic-foci. </w:t>
      </w:r>
      <w:r w:rsidRPr="00215FFA">
        <w:rPr>
          <w:rFonts w:asciiTheme="majorBidi" w:hAnsiTheme="majorBidi" w:cstheme="majorBidi"/>
          <w:b/>
          <w:bCs/>
          <w:sz w:val="28"/>
          <w:szCs w:val="28"/>
          <w:u w:val="single"/>
        </w:rPr>
        <w:t>Aim:</w:t>
      </w:r>
      <w:r w:rsidRPr="00CE28B2">
        <w:rPr>
          <w:rFonts w:asciiTheme="majorBidi" w:hAnsiTheme="majorBidi" w:cstheme="majorBidi"/>
          <w:sz w:val="28"/>
          <w:szCs w:val="28"/>
        </w:rPr>
        <w:t xml:space="preserve"> The aim of this study was evaluating the oral and dental health status of children with (CRF), to investigate the </w:t>
      </w:r>
      <w:proofErr w:type="spellStart"/>
      <w:r w:rsidRPr="00CE28B2">
        <w:rPr>
          <w:rFonts w:asciiTheme="majorBidi" w:hAnsiTheme="majorBidi" w:cstheme="majorBidi"/>
          <w:sz w:val="28"/>
          <w:szCs w:val="28"/>
        </w:rPr>
        <w:t>cariogenic</w:t>
      </w:r>
      <w:proofErr w:type="spellEnd"/>
      <w:r w:rsidRPr="00CE28B2">
        <w:rPr>
          <w:rFonts w:asciiTheme="majorBidi" w:hAnsiTheme="majorBidi" w:cstheme="majorBidi"/>
          <w:sz w:val="28"/>
          <w:szCs w:val="28"/>
        </w:rPr>
        <w:t xml:space="preserve">- </w:t>
      </w:r>
      <w:proofErr w:type="spellStart"/>
      <w:r w:rsidRPr="00CE28B2">
        <w:rPr>
          <w:rFonts w:asciiTheme="majorBidi" w:hAnsiTheme="majorBidi" w:cstheme="majorBidi"/>
          <w:sz w:val="28"/>
          <w:szCs w:val="28"/>
        </w:rPr>
        <w:t>mircoflora</w:t>
      </w:r>
      <w:proofErr w:type="spellEnd"/>
      <w:r w:rsidRPr="00CE28B2">
        <w:rPr>
          <w:rFonts w:asciiTheme="majorBidi" w:hAnsiTheme="majorBidi" w:cstheme="majorBidi"/>
          <w:sz w:val="28"/>
          <w:szCs w:val="28"/>
        </w:rPr>
        <w:t>.</w:t>
      </w:r>
      <w:r w:rsidR="00215FFA">
        <w:rPr>
          <w:rFonts w:asciiTheme="majorBidi" w:hAnsiTheme="majorBidi" w:cstheme="majorBidi"/>
          <w:sz w:val="28"/>
          <w:szCs w:val="28"/>
        </w:rPr>
        <w:t xml:space="preserve"> </w:t>
      </w:r>
      <w:r w:rsidRPr="00215FFA">
        <w:rPr>
          <w:rFonts w:asciiTheme="majorBidi" w:hAnsiTheme="majorBidi" w:cstheme="majorBidi"/>
          <w:b/>
          <w:bCs/>
          <w:sz w:val="28"/>
          <w:szCs w:val="28"/>
          <w:u w:val="single"/>
        </w:rPr>
        <w:t>Design:</w:t>
      </w:r>
      <w:r w:rsidRPr="00CE28B2">
        <w:rPr>
          <w:rFonts w:asciiTheme="majorBidi" w:hAnsiTheme="majorBidi" w:cstheme="majorBidi"/>
          <w:sz w:val="28"/>
          <w:szCs w:val="28"/>
        </w:rPr>
        <w:t xml:space="preserve"> A total of 50-children with CRF were compared with 50 normal children. Salivation of each child was stimulated by chewing a paraffin pellet for 5-min to collect 3 </w:t>
      </w:r>
      <w:proofErr w:type="spellStart"/>
      <w:r w:rsidRPr="00CE28B2">
        <w:rPr>
          <w:rFonts w:asciiTheme="majorBidi" w:hAnsiTheme="majorBidi" w:cstheme="majorBidi"/>
          <w:sz w:val="28"/>
          <w:szCs w:val="28"/>
        </w:rPr>
        <w:t>mL</w:t>
      </w:r>
      <w:proofErr w:type="spellEnd"/>
      <w:r w:rsidRPr="00CE28B2">
        <w:rPr>
          <w:rFonts w:asciiTheme="majorBidi" w:hAnsiTheme="majorBidi" w:cstheme="majorBidi"/>
          <w:sz w:val="28"/>
          <w:szCs w:val="28"/>
        </w:rPr>
        <w:t xml:space="preserve"> of saliva. Salivary levels of urea and pH were measured. Salivary Streptococcus-</w:t>
      </w:r>
      <w:proofErr w:type="spellStart"/>
      <w:r w:rsidRPr="00CE28B2">
        <w:rPr>
          <w:rFonts w:asciiTheme="majorBidi" w:hAnsiTheme="majorBidi" w:cstheme="majorBidi"/>
          <w:sz w:val="28"/>
          <w:szCs w:val="28"/>
        </w:rPr>
        <w:t>mutans</w:t>
      </w:r>
      <w:proofErr w:type="spellEnd"/>
      <w:r w:rsidRPr="00CE28B2">
        <w:rPr>
          <w:rFonts w:asciiTheme="majorBidi" w:hAnsiTheme="majorBidi" w:cstheme="majorBidi"/>
          <w:sz w:val="28"/>
          <w:szCs w:val="28"/>
        </w:rPr>
        <w:t xml:space="preserve"> and Lactobacilli were counted by means of selective culture media. Oral examination was carried out with criteria of (</w:t>
      </w:r>
      <w:proofErr w:type="gramStart"/>
      <w:r w:rsidRPr="00CE28B2">
        <w:rPr>
          <w:rFonts w:asciiTheme="majorBidi" w:hAnsiTheme="majorBidi" w:cstheme="majorBidi"/>
          <w:sz w:val="28"/>
          <w:szCs w:val="28"/>
        </w:rPr>
        <w:t>WHO</w:t>
      </w:r>
      <w:proofErr w:type="gramEnd"/>
      <w:r w:rsidRPr="00CE28B2">
        <w:rPr>
          <w:rFonts w:asciiTheme="majorBidi" w:hAnsiTheme="majorBidi" w:cstheme="majorBidi"/>
          <w:sz w:val="28"/>
          <w:szCs w:val="28"/>
        </w:rPr>
        <w:t xml:space="preserve">) for hypoplasia, discolorations, gingival-indices (GI), plaque-indices (PI) and </w:t>
      </w:r>
      <w:proofErr w:type="spellStart"/>
      <w:r w:rsidRPr="00CE28B2">
        <w:rPr>
          <w:rFonts w:asciiTheme="majorBidi" w:hAnsiTheme="majorBidi" w:cstheme="majorBidi"/>
          <w:sz w:val="28"/>
          <w:szCs w:val="28"/>
        </w:rPr>
        <w:t>dmf</w:t>
      </w:r>
      <w:proofErr w:type="spellEnd"/>
      <w:r w:rsidRPr="00CE28B2">
        <w:rPr>
          <w:rFonts w:asciiTheme="majorBidi" w:hAnsiTheme="majorBidi" w:cstheme="majorBidi"/>
          <w:sz w:val="28"/>
          <w:szCs w:val="28"/>
        </w:rPr>
        <w:t xml:space="preserve"> and DMF-scores. Collected data was statically analyzed by t-test with (</w:t>
      </w:r>
      <w:r w:rsidR="00215FFA">
        <w:rPr>
          <w:rFonts w:asciiTheme="majorBidi" w:hAnsiTheme="majorBidi" w:cstheme="majorBidi"/>
          <w:sz w:val="28"/>
          <w:szCs w:val="28"/>
        </w:rPr>
        <w:t>P</w:t>
      </w:r>
      <w:r w:rsidRPr="00CE28B2">
        <w:rPr>
          <w:rFonts w:asciiTheme="majorBidi" w:hAnsiTheme="majorBidi" w:cstheme="majorBidi"/>
          <w:sz w:val="28"/>
          <w:szCs w:val="28"/>
        </w:rPr>
        <w:t xml:space="preserve">&lt; 0.05). Result: Enamel hypoplasia, discoloration and PI were significantly greater in the CRF-group, but the prevalence of the caries and salivary levels of </w:t>
      </w:r>
      <w:proofErr w:type="spellStart"/>
      <w:r w:rsidRPr="00CE28B2">
        <w:rPr>
          <w:rFonts w:asciiTheme="majorBidi" w:hAnsiTheme="majorBidi" w:cstheme="majorBidi"/>
          <w:sz w:val="28"/>
          <w:szCs w:val="28"/>
        </w:rPr>
        <w:t>cariogenic</w:t>
      </w:r>
      <w:proofErr w:type="spellEnd"/>
      <w:r w:rsidRPr="00CE28B2">
        <w:rPr>
          <w:rFonts w:asciiTheme="majorBidi" w:hAnsiTheme="majorBidi" w:cstheme="majorBidi"/>
          <w:sz w:val="28"/>
          <w:szCs w:val="28"/>
        </w:rPr>
        <w:t xml:space="preserve">-microorganisms were significantly lower than in the control group. However, there wasn’t any significant difference in GI in both groups. </w:t>
      </w:r>
      <w:r w:rsidRPr="00215FFA">
        <w:rPr>
          <w:rFonts w:asciiTheme="majorBidi" w:hAnsiTheme="majorBidi" w:cstheme="majorBidi"/>
          <w:b/>
          <w:bCs/>
          <w:sz w:val="28"/>
          <w:szCs w:val="28"/>
          <w:u w:val="single"/>
        </w:rPr>
        <w:t>Conclusion:</w:t>
      </w:r>
      <w:r w:rsidRPr="00CE28B2">
        <w:rPr>
          <w:rFonts w:asciiTheme="majorBidi" w:hAnsiTheme="majorBidi" w:cstheme="majorBidi"/>
          <w:sz w:val="28"/>
          <w:szCs w:val="28"/>
        </w:rPr>
        <w:t xml:space="preserve"> In CRF-children the levels of </w:t>
      </w:r>
      <w:proofErr w:type="spellStart"/>
      <w:r w:rsidRPr="00CE28B2">
        <w:rPr>
          <w:rFonts w:asciiTheme="majorBidi" w:hAnsiTheme="majorBidi" w:cstheme="majorBidi"/>
          <w:sz w:val="28"/>
          <w:szCs w:val="28"/>
        </w:rPr>
        <w:t>cariogenic</w:t>
      </w:r>
      <w:proofErr w:type="spellEnd"/>
      <w:r w:rsidRPr="00CE28B2">
        <w:rPr>
          <w:rFonts w:asciiTheme="majorBidi" w:hAnsiTheme="majorBidi" w:cstheme="majorBidi"/>
          <w:sz w:val="28"/>
          <w:szCs w:val="28"/>
        </w:rPr>
        <w:t>-microorganisms were decreased due to increased concentrations of antibacterial chemicals as urea in saliva. Also, uremia in CRF children during teething might cause Intrinsic-discoloration, as well as, the use of ferrous-sulfate syrup for anemia treatment which caused black-brown extrinsic-staining. Therefore, although the need of dental treatment was low, these children should receive oral health education and oral hygiene instructions in order to improve their overall oral health.</w:t>
      </w:r>
    </w:p>
    <w:sectPr w:rsidR="006C4F3B" w:rsidRPr="00CE28B2" w:rsidSect="006C4F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091DE4"/>
    <w:rsid w:val="00091DE4"/>
    <w:rsid w:val="00215FFA"/>
    <w:rsid w:val="006C4F3B"/>
    <w:rsid w:val="00CE2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shady</dc:creator>
  <cp:keywords/>
  <dc:description/>
  <cp:lastModifiedBy>shady</cp:lastModifiedBy>
  <cp:revision>3</cp:revision>
  <dcterms:created xsi:type="dcterms:W3CDTF">2018-01-16T08:08:00Z</dcterms:created>
  <dcterms:modified xsi:type="dcterms:W3CDTF">2018-01-16T08:27:00Z</dcterms:modified>
</cp:coreProperties>
</file>