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F33" w:rsidRPr="00DB440C" w:rsidRDefault="00DB440C">
      <w:pPr>
        <w:rPr>
          <w:b/>
          <w:bCs/>
          <w:sz w:val="28"/>
          <w:szCs w:val="28"/>
        </w:rPr>
      </w:pPr>
      <w:r>
        <w:rPr>
          <w:b/>
          <w:bCs/>
          <w:sz w:val="28"/>
          <w:szCs w:val="28"/>
        </w:rPr>
        <w:t xml:space="preserve">Comparison study between </w:t>
      </w:r>
      <w:r w:rsidRPr="00DB440C">
        <w:rPr>
          <w:b/>
          <w:bCs/>
          <w:sz w:val="28"/>
          <w:szCs w:val="28"/>
        </w:rPr>
        <w:t>Light-Emitti</w:t>
      </w:r>
      <w:r>
        <w:rPr>
          <w:b/>
          <w:bCs/>
          <w:sz w:val="28"/>
          <w:szCs w:val="28"/>
        </w:rPr>
        <w:t>ng-Diode and Quartz-</w:t>
      </w:r>
      <w:proofErr w:type="spellStart"/>
      <w:r>
        <w:rPr>
          <w:b/>
          <w:bCs/>
          <w:sz w:val="28"/>
          <w:szCs w:val="28"/>
        </w:rPr>
        <w:t>tungstin</w:t>
      </w:r>
      <w:proofErr w:type="spellEnd"/>
      <w:r>
        <w:rPr>
          <w:b/>
          <w:bCs/>
          <w:sz w:val="28"/>
          <w:szCs w:val="28"/>
        </w:rPr>
        <w:t xml:space="preserve"> Halogen C Light curing systems</w:t>
      </w:r>
    </w:p>
    <w:p w:rsidR="00DB440C" w:rsidRPr="00DB440C" w:rsidRDefault="00DB440C">
      <w:pPr>
        <w:rPr>
          <w:rFonts w:asciiTheme="majorBidi" w:hAnsiTheme="majorBidi" w:cstheme="majorBidi"/>
          <w:sz w:val="24"/>
          <w:szCs w:val="24"/>
        </w:rPr>
      </w:pPr>
    </w:p>
    <w:p w:rsidR="00DB440C" w:rsidRPr="00DB440C" w:rsidRDefault="00DB440C" w:rsidP="00DB440C">
      <w:pPr>
        <w:jc w:val="lowKashida"/>
        <w:rPr>
          <w:rFonts w:asciiTheme="majorBidi" w:hAnsiTheme="majorBidi" w:cstheme="majorBidi"/>
          <w:b/>
          <w:bCs/>
          <w:sz w:val="24"/>
          <w:szCs w:val="24"/>
        </w:rPr>
      </w:pPr>
      <w:r w:rsidRPr="00DB440C">
        <w:rPr>
          <w:rFonts w:asciiTheme="majorBidi" w:hAnsiTheme="majorBidi" w:cstheme="majorBidi"/>
          <w:b/>
          <w:bCs/>
          <w:sz w:val="24"/>
          <w:szCs w:val="24"/>
        </w:rPr>
        <w:t>ABSTRACT</w:t>
      </w:r>
    </w:p>
    <w:p w:rsidR="00DB440C" w:rsidRPr="00DB440C" w:rsidRDefault="00DB440C" w:rsidP="00DB440C">
      <w:pPr>
        <w:jc w:val="lowKashida"/>
        <w:rPr>
          <w:rFonts w:asciiTheme="majorBidi" w:hAnsiTheme="majorBidi" w:cstheme="majorBidi"/>
          <w:sz w:val="24"/>
          <w:szCs w:val="24"/>
        </w:rPr>
      </w:pPr>
      <w:r w:rsidRPr="00DB440C">
        <w:rPr>
          <w:rFonts w:asciiTheme="majorBidi" w:hAnsiTheme="majorBidi" w:cstheme="majorBidi"/>
          <w:sz w:val="24"/>
          <w:szCs w:val="24"/>
        </w:rPr>
        <w:t xml:space="preserve"> </w:t>
      </w:r>
      <w:r w:rsidRPr="00DB440C">
        <w:rPr>
          <w:rFonts w:asciiTheme="majorBidi" w:hAnsiTheme="majorBidi" w:cstheme="majorBidi"/>
          <w:b/>
          <w:bCs/>
          <w:sz w:val="24"/>
          <w:szCs w:val="24"/>
          <w:u w:val="single"/>
        </w:rPr>
        <w:t>Objective:</w:t>
      </w:r>
      <w:r w:rsidRPr="00DB440C">
        <w:rPr>
          <w:rFonts w:asciiTheme="majorBidi" w:hAnsiTheme="majorBidi" w:cstheme="majorBidi"/>
          <w:sz w:val="24"/>
          <w:szCs w:val="24"/>
        </w:rPr>
        <w:t xml:space="preserve"> The purpose of this study was to measure the temperature rise caused by 10 light-emitting diode (LED) and three quartz-tungsten-halogen (QTH) curing lights and to relate the measured temperature rise to the power density </w:t>
      </w:r>
      <w:r>
        <w:rPr>
          <w:rFonts w:asciiTheme="majorBidi" w:hAnsiTheme="majorBidi" w:cstheme="majorBidi"/>
          <w:sz w:val="24"/>
          <w:szCs w:val="24"/>
        </w:rPr>
        <w:t>of the curing light. The hypothesis was</w:t>
      </w:r>
      <w:r w:rsidRPr="00DB440C">
        <w:rPr>
          <w:rFonts w:asciiTheme="majorBidi" w:hAnsiTheme="majorBidi" w:cstheme="majorBidi"/>
          <w:sz w:val="24"/>
          <w:szCs w:val="24"/>
        </w:rPr>
        <w:t xml:space="preserve"> that the temperature rise induced by the LED curing lights would be smaller than that generated by the QTH curing </w:t>
      </w:r>
      <w:r w:rsidRPr="00DB440C">
        <w:rPr>
          <w:rFonts w:asciiTheme="majorBidi" w:hAnsiTheme="majorBidi" w:cstheme="majorBidi"/>
          <w:sz w:val="24"/>
          <w:szCs w:val="24"/>
        </w:rPr>
        <w:t>lights operating at the same power density.</w:t>
      </w:r>
    </w:p>
    <w:p w:rsidR="00DB440C" w:rsidRPr="00DB440C" w:rsidRDefault="00DB440C" w:rsidP="00DB440C">
      <w:pPr>
        <w:jc w:val="lowKashida"/>
        <w:rPr>
          <w:rFonts w:asciiTheme="majorBidi" w:hAnsiTheme="majorBidi" w:cstheme="majorBidi"/>
          <w:sz w:val="24"/>
          <w:szCs w:val="24"/>
        </w:rPr>
      </w:pPr>
      <w:r w:rsidRPr="00DB440C">
        <w:rPr>
          <w:rFonts w:asciiTheme="majorBidi" w:hAnsiTheme="majorBidi" w:cstheme="majorBidi"/>
          <w:b/>
          <w:bCs/>
          <w:sz w:val="24"/>
          <w:szCs w:val="24"/>
          <w:u w:val="single"/>
        </w:rPr>
        <w:t>Materials and Methods:</w:t>
      </w:r>
      <w:r w:rsidRPr="00DB440C">
        <w:rPr>
          <w:rFonts w:asciiTheme="majorBidi" w:hAnsiTheme="majorBidi" w:cstheme="majorBidi"/>
          <w:sz w:val="24"/>
          <w:szCs w:val="24"/>
        </w:rPr>
        <w:t xml:space="preserve"> The curing lights evaluated in this study included a conventional QTH light (XL3000, 3M ESPE, St. Paul, MN, USA), two high-intensity QTH lights (</w:t>
      </w:r>
      <w:proofErr w:type="spellStart"/>
      <w:r w:rsidRPr="00DB440C">
        <w:rPr>
          <w:rFonts w:asciiTheme="majorBidi" w:hAnsiTheme="majorBidi" w:cstheme="majorBidi"/>
          <w:sz w:val="24"/>
          <w:szCs w:val="24"/>
        </w:rPr>
        <w:t>Optilux</w:t>
      </w:r>
      <w:proofErr w:type="spellEnd"/>
      <w:r w:rsidRPr="00DB440C">
        <w:rPr>
          <w:rFonts w:asciiTheme="majorBidi" w:hAnsiTheme="majorBidi" w:cstheme="majorBidi"/>
          <w:sz w:val="24"/>
          <w:szCs w:val="24"/>
        </w:rPr>
        <w:t xml:space="preserve"> 501, SDS/Kerr, Orange, CA, USA; </w:t>
      </w:r>
      <w:proofErr w:type="spellStart"/>
      <w:r w:rsidRPr="00DB440C">
        <w:rPr>
          <w:rFonts w:asciiTheme="majorBidi" w:hAnsiTheme="majorBidi" w:cstheme="majorBidi"/>
          <w:sz w:val="24"/>
          <w:szCs w:val="24"/>
        </w:rPr>
        <w:t>Elipar</w:t>
      </w:r>
      <w:proofErr w:type="spellEnd"/>
      <w:r w:rsidRPr="00DB440C">
        <w:rPr>
          <w:rFonts w:asciiTheme="majorBidi" w:hAnsiTheme="majorBidi" w:cstheme="majorBidi"/>
          <w:sz w:val="24"/>
          <w:szCs w:val="24"/>
        </w:rPr>
        <w:t xml:space="preserve"> Highlight, 3M ESPE), and 10 LED curing</w:t>
      </w:r>
      <w:r w:rsidRPr="00DB440C">
        <w:rPr>
          <w:rFonts w:asciiTheme="majorBidi" w:hAnsiTheme="majorBidi" w:cstheme="majorBidi"/>
          <w:sz w:val="24"/>
          <w:szCs w:val="24"/>
        </w:rPr>
        <w:t xml:space="preserve"> lights (Aqua Blue, </w:t>
      </w:r>
      <w:proofErr w:type="spellStart"/>
      <w:r w:rsidRPr="00DB440C">
        <w:rPr>
          <w:rFonts w:asciiTheme="majorBidi" w:hAnsiTheme="majorBidi" w:cstheme="majorBidi"/>
          <w:sz w:val="24"/>
          <w:szCs w:val="24"/>
        </w:rPr>
        <w:t>Toesco</w:t>
      </w:r>
      <w:proofErr w:type="spellEnd"/>
      <w:r w:rsidRPr="00DB440C">
        <w:rPr>
          <w:rFonts w:asciiTheme="majorBidi" w:hAnsiTheme="majorBidi" w:cstheme="majorBidi"/>
          <w:sz w:val="24"/>
          <w:szCs w:val="24"/>
        </w:rPr>
        <w:t xml:space="preserve">, Kanagawa, Japan; </w:t>
      </w:r>
      <w:proofErr w:type="spellStart"/>
      <w:r w:rsidRPr="00DB440C">
        <w:rPr>
          <w:rFonts w:asciiTheme="majorBidi" w:hAnsiTheme="majorBidi" w:cstheme="majorBidi"/>
          <w:sz w:val="24"/>
          <w:szCs w:val="24"/>
        </w:rPr>
        <w:t>CoolBlu</w:t>
      </w:r>
      <w:proofErr w:type="spellEnd"/>
      <w:r w:rsidRPr="00DB440C">
        <w:rPr>
          <w:rFonts w:asciiTheme="majorBidi" w:hAnsiTheme="majorBidi" w:cstheme="majorBidi"/>
          <w:sz w:val="24"/>
          <w:szCs w:val="24"/>
        </w:rPr>
        <w:t xml:space="preserve">, </w:t>
      </w:r>
      <w:proofErr w:type="spellStart"/>
      <w:r w:rsidRPr="00DB440C">
        <w:rPr>
          <w:rFonts w:asciiTheme="majorBidi" w:hAnsiTheme="majorBidi" w:cstheme="majorBidi"/>
          <w:sz w:val="24"/>
          <w:szCs w:val="24"/>
        </w:rPr>
        <w:t>DentalSystems</w:t>
      </w:r>
      <w:proofErr w:type="spellEnd"/>
      <w:r w:rsidRPr="00DB440C">
        <w:rPr>
          <w:rFonts w:asciiTheme="majorBidi" w:hAnsiTheme="majorBidi" w:cstheme="majorBidi"/>
          <w:sz w:val="24"/>
          <w:szCs w:val="24"/>
        </w:rPr>
        <w:t xml:space="preserve">, Tokyo, Japan; </w:t>
      </w:r>
      <w:proofErr w:type="spellStart"/>
      <w:r w:rsidRPr="00DB440C">
        <w:rPr>
          <w:rFonts w:asciiTheme="majorBidi" w:hAnsiTheme="majorBidi" w:cstheme="majorBidi"/>
          <w:sz w:val="24"/>
          <w:szCs w:val="24"/>
        </w:rPr>
        <w:t>DioPower</w:t>
      </w:r>
      <w:proofErr w:type="spellEnd"/>
      <w:r w:rsidRPr="00DB440C">
        <w:rPr>
          <w:rFonts w:asciiTheme="majorBidi" w:hAnsiTheme="majorBidi" w:cstheme="majorBidi"/>
          <w:sz w:val="24"/>
          <w:szCs w:val="24"/>
        </w:rPr>
        <w:t xml:space="preserve">, CMS, Copenhagen, Denmark; </w:t>
      </w:r>
      <w:proofErr w:type="spellStart"/>
      <w:r w:rsidRPr="00DB440C">
        <w:rPr>
          <w:rFonts w:asciiTheme="majorBidi" w:hAnsiTheme="majorBidi" w:cstheme="majorBidi"/>
          <w:sz w:val="24"/>
          <w:szCs w:val="24"/>
        </w:rPr>
        <w:t>Elipar</w:t>
      </w:r>
      <w:proofErr w:type="spellEnd"/>
      <w:r w:rsidRPr="00DB440C">
        <w:rPr>
          <w:rFonts w:asciiTheme="majorBidi" w:hAnsiTheme="majorBidi" w:cstheme="majorBidi"/>
          <w:sz w:val="24"/>
          <w:szCs w:val="24"/>
        </w:rPr>
        <w:t xml:space="preserve"> </w:t>
      </w:r>
      <w:proofErr w:type="spellStart"/>
      <w:r w:rsidRPr="00DB440C">
        <w:rPr>
          <w:rFonts w:asciiTheme="majorBidi" w:hAnsiTheme="majorBidi" w:cstheme="majorBidi"/>
          <w:sz w:val="24"/>
          <w:szCs w:val="24"/>
        </w:rPr>
        <w:t>Freelight</w:t>
      </w:r>
      <w:proofErr w:type="spellEnd"/>
      <w:r w:rsidRPr="00DB440C">
        <w:rPr>
          <w:rFonts w:asciiTheme="majorBidi" w:hAnsiTheme="majorBidi" w:cstheme="majorBidi"/>
          <w:sz w:val="24"/>
          <w:szCs w:val="24"/>
        </w:rPr>
        <w:t xml:space="preserve">, 3M ESPE; </w:t>
      </w:r>
      <w:proofErr w:type="spellStart"/>
      <w:r w:rsidRPr="00DB440C">
        <w:rPr>
          <w:rFonts w:asciiTheme="majorBidi" w:hAnsiTheme="majorBidi" w:cstheme="majorBidi"/>
          <w:sz w:val="24"/>
          <w:szCs w:val="24"/>
        </w:rPr>
        <w:t>Elipar</w:t>
      </w:r>
      <w:proofErr w:type="spellEnd"/>
      <w:r w:rsidRPr="00DB440C">
        <w:rPr>
          <w:rFonts w:asciiTheme="majorBidi" w:hAnsiTheme="majorBidi" w:cstheme="majorBidi"/>
          <w:sz w:val="24"/>
          <w:szCs w:val="24"/>
        </w:rPr>
        <w:t xml:space="preserve"> </w:t>
      </w:r>
      <w:proofErr w:type="spellStart"/>
      <w:r w:rsidRPr="00DB440C">
        <w:rPr>
          <w:rFonts w:asciiTheme="majorBidi" w:hAnsiTheme="majorBidi" w:cstheme="majorBidi"/>
          <w:sz w:val="24"/>
          <w:szCs w:val="24"/>
        </w:rPr>
        <w:t>Freelight</w:t>
      </w:r>
      <w:proofErr w:type="spellEnd"/>
      <w:r w:rsidRPr="00DB440C">
        <w:rPr>
          <w:rFonts w:asciiTheme="majorBidi" w:hAnsiTheme="majorBidi" w:cstheme="majorBidi"/>
          <w:sz w:val="24"/>
          <w:szCs w:val="24"/>
        </w:rPr>
        <w:t xml:space="preserve"> 2, 3M ESPE; L.E. </w:t>
      </w:r>
      <w:proofErr w:type="spellStart"/>
      <w:r w:rsidRPr="00DB440C">
        <w:rPr>
          <w:rFonts w:asciiTheme="majorBidi" w:hAnsiTheme="majorBidi" w:cstheme="majorBidi"/>
          <w:sz w:val="24"/>
          <w:szCs w:val="24"/>
        </w:rPr>
        <w:t>Demetron</w:t>
      </w:r>
      <w:proofErr w:type="spellEnd"/>
      <w:r w:rsidRPr="00DB440C">
        <w:rPr>
          <w:rFonts w:asciiTheme="majorBidi" w:hAnsiTheme="majorBidi" w:cstheme="majorBidi"/>
          <w:sz w:val="24"/>
          <w:szCs w:val="24"/>
        </w:rPr>
        <w:t xml:space="preserve"> 1, SDS/Kerr; Lux-</w:t>
      </w:r>
      <w:proofErr w:type="spellStart"/>
      <w:r w:rsidRPr="00DB440C">
        <w:rPr>
          <w:rFonts w:asciiTheme="majorBidi" w:hAnsiTheme="majorBidi" w:cstheme="majorBidi"/>
          <w:sz w:val="24"/>
          <w:szCs w:val="24"/>
        </w:rPr>
        <w:t>OMax</w:t>
      </w:r>
      <w:proofErr w:type="spellEnd"/>
      <w:r w:rsidRPr="00DB440C">
        <w:rPr>
          <w:rFonts w:asciiTheme="majorBidi" w:hAnsiTheme="majorBidi" w:cstheme="majorBidi"/>
          <w:sz w:val="24"/>
          <w:szCs w:val="24"/>
        </w:rPr>
        <w:t xml:space="preserve">, </w:t>
      </w:r>
      <w:proofErr w:type="spellStart"/>
      <w:r w:rsidRPr="00DB440C">
        <w:rPr>
          <w:rFonts w:asciiTheme="majorBidi" w:hAnsiTheme="majorBidi" w:cstheme="majorBidi"/>
          <w:sz w:val="24"/>
          <w:szCs w:val="24"/>
        </w:rPr>
        <w:t>Akeda</w:t>
      </w:r>
      <w:proofErr w:type="spellEnd"/>
      <w:r w:rsidRPr="00DB440C">
        <w:rPr>
          <w:rFonts w:asciiTheme="majorBidi" w:hAnsiTheme="majorBidi" w:cstheme="majorBidi"/>
          <w:sz w:val="24"/>
          <w:szCs w:val="24"/>
        </w:rPr>
        <w:t xml:space="preserve">, </w:t>
      </w:r>
      <w:proofErr w:type="spellStart"/>
      <w:r w:rsidRPr="00DB440C">
        <w:rPr>
          <w:rFonts w:asciiTheme="majorBidi" w:hAnsiTheme="majorBidi" w:cstheme="majorBidi"/>
          <w:sz w:val="24"/>
          <w:szCs w:val="24"/>
        </w:rPr>
        <w:t>Lystrup</w:t>
      </w:r>
      <w:proofErr w:type="spellEnd"/>
      <w:r w:rsidRPr="00DB440C">
        <w:rPr>
          <w:rFonts w:asciiTheme="majorBidi" w:hAnsiTheme="majorBidi" w:cstheme="majorBidi"/>
          <w:sz w:val="24"/>
          <w:szCs w:val="24"/>
        </w:rPr>
        <w:t xml:space="preserve">, Denmark; Lux-O-Max P1, </w:t>
      </w:r>
      <w:proofErr w:type="spellStart"/>
      <w:r w:rsidRPr="00DB440C">
        <w:rPr>
          <w:rFonts w:asciiTheme="majorBidi" w:hAnsiTheme="majorBidi" w:cstheme="majorBidi"/>
          <w:sz w:val="24"/>
          <w:szCs w:val="24"/>
        </w:rPr>
        <w:t>Akeda</w:t>
      </w:r>
      <w:proofErr w:type="spellEnd"/>
      <w:r w:rsidRPr="00DB440C">
        <w:rPr>
          <w:rFonts w:asciiTheme="majorBidi" w:hAnsiTheme="majorBidi" w:cstheme="majorBidi"/>
          <w:sz w:val="24"/>
          <w:szCs w:val="24"/>
        </w:rPr>
        <w:t xml:space="preserve">; </w:t>
      </w:r>
      <w:proofErr w:type="spellStart"/>
      <w:r w:rsidRPr="00DB440C">
        <w:rPr>
          <w:rFonts w:asciiTheme="majorBidi" w:hAnsiTheme="majorBidi" w:cstheme="majorBidi"/>
          <w:sz w:val="24"/>
          <w:szCs w:val="24"/>
        </w:rPr>
        <w:t>SmartLite</w:t>
      </w:r>
      <w:proofErr w:type="spellEnd"/>
      <w:r w:rsidRPr="00DB440C">
        <w:rPr>
          <w:rFonts w:asciiTheme="majorBidi" w:hAnsiTheme="majorBidi" w:cstheme="majorBidi"/>
          <w:sz w:val="24"/>
          <w:szCs w:val="24"/>
        </w:rPr>
        <w:t xml:space="preserve">, </w:t>
      </w:r>
      <w:proofErr w:type="spellStart"/>
      <w:r w:rsidRPr="00DB440C">
        <w:rPr>
          <w:rFonts w:asciiTheme="majorBidi" w:hAnsiTheme="majorBidi" w:cstheme="majorBidi"/>
          <w:sz w:val="24"/>
          <w:szCs w:val="24"/>
        </w:rPr>
        <w:t>Dentsply</w:t>
      </w:r>
      <w:proofErr w:type="spellEnd"/>
      <w:r w:rsidRPr="00DB440C">
        <w:rPr>
          <w:rFonts w:asciiTheme="majorBidi" w:hAnsiTheme="majorBidi" w:cstheme="majorBidi"/>
          <w:sz w:val="24"/>
          <w:szCs w:val="24"/>
        </w:rPr>
        <w:t>, Konstanz, Germany; Ultra-</w:t>
      </w:r>
      <w:proofErr w:type="spellStart"/>
      <w:r w:rsidRPr="00DB440C">
        <w:rPr>
          <w:rFonts w:asciiTheme="majorBidi" w:hAnsiTheme="majorBidi" w:cstheme="majorBidi"/>
          <w:sz w:val="24"/>
          <w:szCs w:val="24"/>
        </w:rPr>
        <w:t>Lume</w:t>
      </w:r>
      <w:proofErr w:type="spellEnd"/>
      <w:r w:rsidRPr="00DB440C">
        <w:rPr>
          <w:rFonts w:asciiTheme="majorBidi" w:hAnsiTheme="majorBidi" w:cstheme="majorBidi"/>
          <w:sz w:val="24"/>
          <w:szCs w:val="24"/>
        </w:rPr>
        <w:t xml:space="preserve"> 2, </w:t>
      </w:r>
      <w:proofErr w:type="spellStart"/>
      <w:r w:rsidRPr="00DB440C">
        <w:rPr>
          <w:rFonts w:asciiTheme="majorBidi" w:hAnsiTheme="majorBidi" w:cstheme="majorBidi"/>
          <w:sz w:val="24"/>
          <w:szCs w:val="24"/>
        </w:rPr>
        <w:t>Ultradent</w:t>
      </w:r>
      <w:proofErr w:type="spellEnd"/>
      <w:r w:rsidRPr="00DB440C">
        <w:rPr>
          <w:rFonts w:asciiTheme="majorBidi" w:hAnsiTheme="majorBidi" w:cstheme="majorBidi"/>
          <w:sz w:val="24"/>
          <w:szCs w:val="24"/>
        </w:rPr>
        <w:t xml:space="preserve"> Products, South Jordan, UT, USA). </w:t>
      </w:r>
      <w:r w:rsidRPr="00DB440C">
        <w:rPr>
          <w:rFonts w:asciiTheme="majorBidi" w:hAnsiTheme="majorBidi" w:cstheme="majorBidi"/>
          <w:sz w:val="24"/>
          <w:szCs w:val="24"/>
        </w:rPr>
        <w:t>The estimated relative heat generated by the curing lights was determined by measuring the temperature rise on the surface of a 4-mm × 4-mm cylinder of resin composite (</w:t>
      </w:r>
      <w:proofErr w:type="spellStart"/>
      <w:r w:rsidRPr="00DB440C">
        <w:rPr>
          <w:rFonts w:asciiTheme="majorBidi" w:hAnsiTheme="majorBidi" w:cstheme="majorBidi"/>
          <w:sz w:val="24"/>
          <w:szCs w:val="24"/>
        </w:rPr>
        <w:t>Tetric</w:t>
      </w:r>
      <w:proofErr w:type="spellEnd"/>
      <w:r w:rsidRPr="00DB440C">
        <w:rPr>
          <w:rFonts w:asciiTheme="majorBidi" w:hAnsiTheme="majorBidi" w:cstheme="majorBidi"/>
          <w:sz w:val="24"/>
          <w:szCs w:val="24"/>
        </w:rPr>
        <w:t xml:space="preserve"> Ceram; </w:t>
      </w:r>
      <w:proofErr w:type="spellStart"/>
      <w:r w:rsidRPr="00DB440C">
        <w:rPr>
          <w:rFonts w:asciiTheme="majorBidi" w:hAnsiTheme="majorBidi" w:cstheme="majorBidi"/>
          <w:sz w:val="24"/>
          <w:szCs w:val="24"/>
        </w:rPr>
        <w:t>Ivoclar</w:t>
      </w:r>
      <w:proofErr w:type="spellEnd"/>
      <w:r w:rsidRPr="00DB440C">
        <w:rPr>
          <w:rFonts w:asciiTheme="majorBidi" w:hAnsiTheme="majorBidi" w:cstheme="majorBidi"/>
          <w:sz w:val="24"/>
          <w:szCs w:val="24"/>
        </w:rPr>
        <w:t xml:space="preserve"> </w:t>
      </w:r>
      <w:proofErr w:type="spellStart"/>
      <w:r w:rsidRPr="00DB440C">
        <w:rPr>
          <w:rFonts w:asciiTheme="majorBidi" w:hAnsiTheme="majorBidi" w:cstheme="majorBidi"/>
          <w:sz w:val="24"/>
          <w:szCs w:val="24"/>
        </w:rPr>
        <w:t>Vivadent</w:t>
      </w:r>
      <w:proofErr w:type="spellEnd"/>
      <w:r w:rsidRPr="00DB440C">
        <w:rPr>
          <w:rFonts w:asciiTheme="majorBidi" w:hAnsiTheme="majorBidi" w:cstheme="majorBidi"/>
          <w:sz w:val="24"/>
          <w:szCs w:val="24"/>
        </w:rPr>
        <w:t xml:space="preserve">, </w:t>
      </w:r>
      <w:proofErr w:type="spellStart"/>
      <w:r w:rsidRPr="00DB440C">
        <w:rPr>
          <w:rFonts w:asciiTheme="majorBidi" w:hAnsiTheme="majorBidi" w:cstheme="majorBidi"/>
          <w:sz w:val="24"/>
          <w:szCs w:val="24"/>
        </w:rPr>
        <w:t>Schaan</w:t>
      </w:r>
      <w:proofErr w:type="spellEnd"/>
      <w:r w:rsidRPr="00DB440C">
        <w:rPr>
          <w:rFonts w:asciiTheme="majorBidi" w:hAnsiTheme="majorBidi" w:cstheme="majorBidi"/>
          <w:sz w:val="24"/>
          <w:szCs w:val="24"/>
        </w:rPr>
        <w:t>, Liechtenstein) using a thermocouple connected to a galvanometer (Radiometer, Copenhagen, Denmark). All measurements were made at the end of a 20-second exposure to the curing light. Power density was measured using a dental radiometer (</w:t>
      </w:r>
      <w:proofErr w:type="spellStart"/>
      <w:r w:rsidRPr="00DB440C">
        <w:rPr>
          <w:rFonts w:asciiTheme="majorBidi" w:hAnsiTheme="majorBidi" w:cstheme="majorBidi"/>
          <w:sz w:val="24"/>
          <w:szCs w:val="24"/>
        </w:rPr>
        <w:t>Demetron</w:t>
      </w:r>
      <w:proofErr w:type="spellEnd"/>
      <w:r w:rsidRPr="00DB440C">
        <w:rPr>
          <w:rFonts w:asciiTheme="majorBidi" w:hAnsiTheme="majorBidi" w:cstheme="majorBidi"/>
          <w:sz w:val="24"/>
          <w:szCs w:val="24"/>
        </w:rPr>
        <w:t xml:space="preserve"> Research, Danbury, CT, USA). The data were evaluated statistically by regression analysis and by the </w:t>
      </w:r>
      <w:proofErr w:type="spellStart"/>
      <w:r w:rsidRPr="00DB440C">
        <w:rPr>
          <w:rFonts w:asciiTheme="majorBidi" w:hAnsiTheme="majorBidi" w:cstheme="majorBidi"/>
          <w:sz w:val="24"/>
          <w:szCs w:val="24"/>
        </w:rPr>
        <w:t>Neuman</w:t>
      </w:r>
      <w:proofErr w:type="spellEnd"/>
      <w:r w:rsidRPr="00DB440C">
        <w:rPr>
          <w:rFonts w:asciiTheme="majorBidi" w:hAnsiTheme="majorBidi" w:cstheme="majorBidi"/>
          <w:sz w:val="24"/>
          <w:szCs w:val="24"/>
        </w:rPr>
        <w:t>–</w:t>
      </w:r>
      <w:proofErr w:type="spellStart"/>
      <w:r w:rsidRPr="00DB440C">
        <w:rPr>
          <w:rFonts w:asciiTheme="majorBidi" w:hAnsiTheme="majorBidi" w:cstheme="majorBidi"/>
          <w:sz w:val="24"/>
          <w:szCs w:val="24"/>
        </w:rPr>
        <w:t>Keuls</w:t>
      </w:r>
      <w:proofErr w:type="spellEnd"/>
      <w:r w:rsidRPr="00DB440C">
        <w:rPr>
          <w:rFonts w:asciiTheme="majorBidi" w:hAnsiTheme="majorBidi" w:cstheme="majorBidi"/>
          <w:sz w:val="24"/>
          <w:szCs w:val="24"/>
        </w:rPr>
        <w:t xml:space="preserve"> multiple comparison test.</w:t>
      </w:r>
    </w:p>
    <w:p w:rsidR="00DB440C" w:rsidRPr="00DB440C" w:rsidRDefault="00DB440C" w:rsidP="00DB440C">
      <w:pPr>
        <w:jc w:val="lowKashida"/>
        <w:rPr>
          <w:rFonts w:asciiTheme="majorBidi" w:hAnsiTheme="majorBidi" w:cstheme="majorBidi"/>
          <w:sz w:val="24"/>
          <w:szCs w:val="24"/>
        </w:rPr>
      </w:pPr>
      <w:r w:rsidRPr="00DB440C">
        <w:rPr>
          <w:rFonts w:asciiTheme="majorBidi" w:hAnsiTheme="majorBidi" w:cstheme="majorBidi"/>
          <w:b/>
          <w:bCs/>
          <w:sz w:val="24"/>
          <w:szCs w:val="24"/>
          <w:u w:val="single"/>
        </w:rPr>
        <w:t>Results:</w:t>
      </w:r>
      <w:r w:rsidRPr="00DB440C">
        <w:rPr>
          <w:rFonts w:asciiTheme="majorBidi" w:hAnsiTheme="majorBidi" w:cstheme="majorBidi"/>
          <w:sz w:val="24"/>
          <w:szCs w:val="24"/>
        </w:rPr>
        <w:t xml:space="preserve"> Taking all curing lights into consideration, the coefficient of correlation between temperature rise and power density was very good and statistically significant at r = 0.93 (p &lt; 0.001). The correlation coefficient for only the LED curing lights was even stronger, r = 0.96 (p &lt; 0.001). This means, of course, that temperature rise increases with increased power density. On the plotted LED regression line, the temperature rise of two of</w:t>
      </w:r>
      <w:r w:rsidR="00642FE9">
        <w:rPr>
          <w:rFonts w:asciiTheme="majorBidi" w:hAnsiTheme="majorBidi" w:cstheme="majorBidi"/>
          <w:sz w:val="24"/>
          <w:szCs w:val="24"/>
        </w:rPr>
        <w:t xml:space="preserve"> </w:t>
      </w:r>
      <w:r w:rsidRPr="00DB440C">
        <w:rPr>
          <w:rFonts w:asciiTheme="majorBidi" w:hAnsiTheme="majorBidi" w:cstheme="majorBidi"/>
          <w:sz w:val="24"/>
          <w:szCs w:val="24"/>
        </w:rPr>
        <w:t>the three QTH curing lights exceeded (by 2 and 2.3°C) the projected temperature rise of an LED curing light measured at the same power density (650mW/cm2). The measured temperature rise of the conventional QTH curing light operating at 360mW/cm2 was not significantly different from the predicted LED temperature rise regression line.</w:t>
      </w:r>
    </w:p>
    <w:p w:rsidR="00DB440C" w:rsidRPr="00DB440C" w:rsidRDefault="00DB440C" w:rsidP="00DB440C">
      <w:pPr>
        <w:jc w:val="lowKashida"/>
        <w:rPr>
          <w:rFonts w:asciiTheme="majorBidi" w:hAnsiTheme="majorBidi" w:cstheme="majorBidi"/>
          <w:sz w:val="24"/>
          <w:szCs w:val="24"/>
        </w:rPr>
      </w:pPr>
      <w:r w:rsidRPr="00DB440C">
        <w:rPr>
          <w:rFonts w:asciiTheme="majorBidi" w:hAnsiTheme="majorBidi" w:cstheme="majorBidi"/>
          <w:b/>
          <w:bCs/>
          <w:sz w:val="24"/>
          <w:szCs w:val="24"/>
          <w:u w:val="single"/>
        </w:rPr>
        <w:t>Conclusion:</w:t>
      </w:r>
      <w:r w:rsidRPr="00DB440C">
        <w:rPr>
          <w:rFonts w:asciiTheme="majorBidi" w:hAnsiTheme="majorBidi" w:cstheme="majorBidi"/>
          <w:sz w:val="24"/>
          <w:szCs w:val="24"/>
        </w:rPr>
        <w:t xml:space="preserve"> In general, the hypothesis that temperature rise caused by LED curing lights would be less than that generated by QTH curing lights operating at the same power density could not be confirmed. The data did not support earlier findings that LED curing units generated smaller temperature rises than QTH curing lights. The authors concluded that the main reason for earlier findings was that first-generation LED curing lights had lower power densities than present-day lights.</w:t>
      </w:r>
      <w:bookmarkStart w:id="0" w:name="_GoBack"/>
      <w:bookmarkEnd w:id="0"/>
    </w:p>
    <w:sectPr w:rsidR="00DB440C" w:rsidRPr="00DB44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107"/>
    <w:rsid w:val="00642FE9"/>
    <w:rsid w:val="00706107"/>
    <w:rsid w:val="00A32F33"/>
    <w:rsid w:val="00DB44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D2F1ED-5321-48FC-98F2-C8447C5BA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BPC KSA.</Company>
  <LinksUpToDate>false</LinksUpToDate>
  <CharactersWithSpaces>3006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BPC FACULTY</dc:creator>
  <cp:keywords/>
  <dc:description/>
  <cp:lastModifiedBy>BPC FACULTY</cp:lastModifiedBy>
  <cp:revision>2</cp:revision>
  <dcterms:created xsi:type="dcterms:W3CDTF">2017-02-08T04:01:00Z</dcterms:created>
  <dcterms:modified xsi:type="dcterms:W3CDTF">2017-02-08T04:14:00Z</dcterms:modified>
</cp:coreProperties>
</file>