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FFD" w:rsidRDefault="00A01A57">
      <w:r>
        <w:t xml:space="preserve">With an increase in availability of implant restorative </w:t>
      </w:r>
      <w:proofErr w:type="gramStart"/>
      <w:r>
        <w:t>components ,as</w:t>
      </w:r>
      <w:proofErr w:type="gramEnd"/>
      <w:r>
        <w:t xml:space="preserve"> abutment , the selection of appropriate abutment for a given patient  situation has become very important and create a great challenge. This lecture shows a step by step guideline for choosing appropriate abutment, after describing different types of abutment that are useful  in variety of  clinical situations.</w:t>
      </w:r>
      <w:bookmarkStart w:id="0" w:name="_GoBack"/>
      <w:bookmarkEnd w:id="0"/>
    </w:p>
    <w:sectPr w:rsidR="00E87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A57"/>
    <w:rsid w:val="00611112"/>
    <w:rsid w:val="00761BD4"/>
    <w:rsid w:val="00A0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</dc:creator>
  <cp:lastModifiedBy>Aida</cp:lastModifiedBy>
  <cp:revision>1</cp:revision>
  <dcterms:created xsi:type="dcterms:W3CDTF">2016-12-23T14:33:00Z</dcterms:created>
  <dcterms:modified xsi:type="dcterms:W3CDTF">2016-12-23T14:43:00Z</dcterms:modified>
</cp:coreProperties>
</file>