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07D" w:rsidRDefault="003E007D" w:rsidP="00494130">
      <w:pPr>
        <w:pStyle w:val="Heading1"/>
        <w:spacing w:before="170"/>
        <w:ind w:left="0"/>
        <w:rPr>
          <w:color w:val="337AB7"/>
        </w:rPr>
      </w:pPr>
      <w:r w:rsidRPr="0033281C">
        <w:rPr>
          <w:noProof/>
        </w:rPr>
        <w:drawing>
          <wp:anchor distT="0" distB="0" distL="114300" distR="114300" simplePos="0" relativeHeight="251660288" behindDoc="1" locked="0" layoutInCell="1" allowOverlap="1" wp14:anchorId="3EF9608E" wp14:editId="7FF9F44F">
            <wp:simplePos x="0" y="0"/>
            <wp:positionH relativeFrom="margin">
              <wp:posOffset>5707380</wp:posOffset>
            </wp:positionH>
            <wp:positionV relativeFrom="paragraph">
              <wp:posOffset>330835</wp:posOffset>
            </wp:positionV>
            <wp:extent cx="1019810" cy="984250"/>
            <wp:effectExtent l="0" t="0" r="8890" b="6350"/>
            <wp:wrapTight wrapText="bothSides">
              <wp:wrapPolygon edited="0">
                <wp:start x="0" y="0"/>
                <wp:lineTo x="0" y="21321"/>
                <wp:lineTo x="21385" y="21321"/>
                <wp:lineTo x="21385" y="0"/>
                <wp:lineTo x="0" y="0"/>
              </wp:wrapPolygon>
            </wp:wrapTight>
            <wp:docPr id="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19810" cy="984250"/>
                    </a:xfrm>
                    <a:prstGeom prst="rect">
                      <a:avLst/>
                    </a:prstGeom>
                    <a:noFill/>
                  </pic:spPr>
                </pic:pic>
              </a:graphicData>
            </a:graphic>
            <wp14:sizeRelH relativeFrom="margin">
              <wp14:pctWidth>0</wp14:pctWidth>
            </wp14:sizeRelH>
            <wp14:sizeRelV relativeFrom="margin">
              <wp14:pctHeight>0</wp14:pctHeight>
            </wp14:sizeRelV>
          </wp:anchor>
        </w:drawing>
      </w:r>
    </w:p>
    <w:p w:rsidR="003E007D" w:rsidRDefault="003E007D" w:rsidP="00494130">
      <w:pPr>
        <w:pStyle w:val="Heading1"/>
        <w:spacing w:before="170"/>
        <w:ind w:left="0"/>
        <w:rPr>
          <w:color w:val="337AB7"/>
        </w:rPr>
      </w:pPr>
      <w:r>
        <w:rPr>
          <w:b w:val="0"/>
          <w:noProof/>
        </w:rPr>
        <w:drawing>
          <wp:anchor distT="0" distB="0" distL="114300" distR="114300" simplePos="0" relativeHeight="251661312" behindDoc="0" locked="0" layoutInCell="1" allowOverlap="1" wp14:anchorId="6424A4BE" wp14:editId="6CD0F420">
            <wp:simplePos x="0" y="0"/>
            <wp:positionH relativeFrom="column">
              <wp:posOffset>51435</wp:posOffset>
            </wp:positionH>
            <wp:positionV relativeFrom="paragraph">
              <wp:posOffset>39370</wp:posOffset>
            </wp:positionV>
            <wp:extent cx="1283335" cy="1273175"/>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aiz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83335" cy="1273175"/>
                    </a:xfrm>
                    <a:prstGeom prst="rect">
                      <a:avLst/>
                    </a:prstGeom>
                  </pic:spPr>
                </pic:pic>
              </a:graphicData>
            </a:graphic>
            <wp14:sizeRelH relativeFrom="page">
              <wp14:pctWidth>0</wp14:pctWidth>
            </wp14:sizeRelH>
            <wp14:sizeRelV relativeFrom="page">
              <wp14:pctHeight>0</wp14:pctHeight>
            </wp14:sizeRelV>
          </wp:anchor>
        </w:drawing>
      </w:r>
    </w:p>
    <w:p w:rsidR="00517B9F" w:rsidRDefault="00517B9F" w:rsidP="00494130">
      <w:pPr>
        <w:pStyle w:val="Heading1"/>
        <w:spacing w:before="170"/>
        <w:ind w:left="0"/>
        <w:rPr>
          <w:color w:val="337AB7"/>
        </w:rPr>
      </w:pPr>
    </w:p>
    <w:p w:rsidR="003E007D" w:rsidRDefault="00517B9F" w:rsidP="003E007D">
      <w:pPr>
        <w:jc w:val="right"/>
        <w:rPr>
          <w:b/>
        </w:rPr>
      </w:pPr>
      <w:r w:rsidRPr="00EA40FD">
        <w:rPr>
          <w:b/>
        </w:rPr>
        <w:tab/>
      </w:r>
      <w:r w:rsidRPr="00EA40FD">
        <w:rPr>
          <w:b/>
        </w:rPr>
        <w:tab/>
        <w:t xml:space="preserve">                           </w:t>
      </w:r>
      <w:r>
        <w:rPr>
          <w:b/>
        </w:rPr>
        <w:t xml:space="preserve">                                              </w:t>
      </w:r>
      <w:r w:rsidR="003E007D">
        <w:rPr>
          <w:b/>
        </w:rPr>
        <w:t xml:space="preserve">              </w:t>
      </w:r>
    </w:p>
    <w:p w:rsidR="003E007D" w:rsidRDefault="003E007D" w:rsidP="003E007D">
      <w:pPr>
        <w:jc w:val="right"/>
        <w:rPr>
          <w:b/>
        </w:rPr>
      </w:pPr>
      <w:r>
        <w:rPr>
          <w:b/>
        </w:rPr>
        <w:t xml:space="preserve">        </w:t>
      </w:r>
      <w:r>
        <w:rPr>
          <w:b/>
        </w:rPr>
        <w:tab/>
      </w:r>
      <w:r>
        <w:rPr>
          <w:b/>
        </w:rPr>
        <w:tab/>
      </w:r>
      <w:r>
        <w:rPr>
          <w:b/>
        </w:rPr>
        <w:tab/>
      </w:r>
      <w:r>
        <w:rPr>
          <w:b/>
        </w:rPr>
        <w:tab/>
      </w:r>
      <w:r>
        <w:rPr>
          <w:b/>
        </w:rPr>
        <w:tab/>
      </w:r>
      <w:r>
        <w:rPr>
          <w:b/>
        </w:rPr>
        <w:tab/>
      </w:r>
      <w:r>
        <w:rPr>
          <w:b/>
        </w:rPr>
        <w:tab/>
      </w:r>
      <w:r w:rsidR="00517B9F">
        <w:rPr>
          <w:b/>
        </w:rPr>
        <w:t xml:space="preserve"> </w:t>
      </w:r>
    </w:p>
    <w:p w:rsidR="003E007D" w:rsidRPr="00EA40FD" w:rsidRDefault="00517B9F" w:rsidP="003E007D">
      <w:pPr>
        <w:jc w:val="right"/>
        <w:rPr>
          <w:b/>
        </w:rPr>
      </w:pPr>
      <w:r>
        <w:rPr>
          <w:b/>
        </w:rPr>
        <w:t xml:space="preserve"> </w:t>
      </w:r>
    </w:p>
    <w:p w:rsidR="00517B9F" w:rsidRPr="00EA40FD" w:rsidRDefault="00517B9F" w:rsidP="003E007D">
      <w:pPr>
        <w:jc w:val="right"/>
        <w:rPr>
          <w:b/>
        </w:rPr>
      </w:pPr>
    </w:p>
    <w:p w:rsidR="003E007D" w:rsidRPr="003E007D" w:rsidRDefault="003E007D" w:rsidP="003E007D">
      <w:pPr>
        <w:rPr>
          <w:b/>
          <w:bCs/>
          <w:color w:val="0070C0"/>
          <w:sz w:val="32"/>
          <w:szCs w:val="32"/>
        </w:rPr>
      </w:pPr>
      <w:r w:rsidRPr="003E007D">
        <w:rPr>
          <w:b/>
          <w:bCs/>
          <w:color w:val="0070C0"/>
          <w:sz w:val="32"/>
          <w:szCs w:val="32"/>
        </w:rPr>
        <w:t>Dental Students’ Views of Their Clinical Cognitive Skills</w:t>
      </w:r>
    </w:p>
    <w:p w:rsidR="003E007D" w:rsidRPr="00B11C9F" w:rsidRDefault="003E007D" w:rsidP="003E007D">
      <w:pPr>
        <w:rPr>
          <w:b/>
          <w:bCs/>
        </w:rPr>
      </w:pPr>
      <w:r w:rsidRPr="003E007D">
        <w:rPr>
          <w:b/>
          <w:bCs/>
          <w:color w:val="0070C0"/>
          <w:sz w:val="32"/>
          <w:szCs w:val="32"/>
        </w:rPr>
        <w:t xml:space="preserve"> A Qualitative study</w:t>
      </w:r>
    </w:p>
    <w:p w:rsidR="005973B9" w:rsidRDefault="003E007D" w:rsidP="005973B9">
      <w:pPr>
        <w:pStyle w:val="BodyText"/>
        <w:spacing w:before="73" w:line="198" w:lineRule="exact"/>
        <w:ind w:left="100" w:right="5987"/>
        <w:rPr>
          <w:rFonts w:ascii="Arial"/>
        </w:rPr>
      </w:pPr>
      <w:proofErr w:type="gramStart"/>
      <w:r>
        <w:rPr>
          <w:rFonts w:ascii="Arial"/>
        </w:rPr>
        <w:t>Ass.</w:t>
      </w:r>
      <w:proofErr w:type="gramEnd"/>
      <w:r>
        <w:rPr>
          <w:rFonts w:ascii="Arial"/>
        </w:rPr>
        <w:t xml:space="preserve"> Prof. </w:t>
      </w:r>
      <w:proofErr w:type="spellStart"/>
      <w:r>
        <w:rPr>
          <w:rFonts w:ascii="Arial"/>
        </w:rPr>
        <w:t>Faaiz</w:t>
      </w:r>
      <w:proofErr w:type="spellEnd"/>
      <w:r>
        <w:rPr>
          <w:rFonts w:ascii="Arial"/>
        </w:rPr>
        <w:t xml:space="preserve"> </w:t>
      </w:r>
      <w:proofErr w:type="spellStart"/>
      <w:r>
        <w:rPr>
          <w:rFonts w:ascii="Arial"/>
        </w:rPr>
        <w:t>Alhamdani</w:t>
      </w:r>
      <w:proofErr w:type="spellEnd"/>
      <w:r>
        <w:rPr>
          <w:rFonts w:ascii="Arial"/>
        </w:rPr>
        <w:t>, PhD</w:t>
      </w:r>
    </w:p>
    <w:p w:rsidR="003E007D" w:rsidRDefault="003E007D" w:rsidP="005973B9">
      <w:pPr>
        <w:pStyle w:val="BodyText"/>
        <w:spacing w:before="73" w:line="198" w:lineRule="exact"/>
        <w:ind w:left="100" w:right="5987"/>
        <w:rPr>
          <w:rFonts w:ascii="Arial"/>
        </w:rPr>
      </w:pPr>
      <w:r>
        <w:rPr>
          <w:rFonts w:ascii="Arial"/>
        </w:rPr>
        <w:t xml:space="preserve">Head of Clinical Sciences Department, College of Dentistry, Ibn </w:t>
      </w:r>
      <w:proofErr w:type="spellStart"/>
      <w:r>
        <w:rPr>
          <w:rFonts w:ascii="Arial"/>
        </w:rPr>
        <w:t>Sina</w:t>
      </w:r>
      <w:proofErr w:type="spellEnd"/>
      <w:r>
        <w:rPr>
          <w:rFonts w:ascii="Arial"/>
        </w:rPr>
        <w:t xml:space="preserve"> University for Medical and Pharmaceutical Sciences</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rsidP="003E007D">
      <w:pPr>
        <w:pStyle w:val="Heading3"/>
        <w:spacing w:before="147"/>
        <w:jc w:val="both"/>
      </w:pPr>
      <w:r>
        <w:rPr>
          <w:color w:val="BF5A14"/>
        </w:rPr>
        <w:lastRenderedPageBreak/>
        <w:t>Abstract</w:t>
      </w:r>
      <w:r w:rsidR="00404E5B">
        <w:rPr>
          <w:color w:val="BF5A14"/>
        </w:rPr>
        <w:t xml:space="preserve"> </w:t>
      </w:r>
    </w:p>
    <w:p w:rsidR="003E007D" w:rsidRDefault="003E007D" w:rsidP="003E007D">
      <w:r>
        <w:t xml:space="preserve">Introduction: Clinical skills involve students’ cognitive and technical skills, which represents the essential aspects of professional competency. Clinical skills’ development was a focus of many recent studies. Previously conducted studies showed that undergraduate dental students have more interest toward developing their technical clinical skills, which include simple and complicated dental extractions, rather than developing cognitive skills. However, to the best of the author’s knowledge no previously conducted qualitative study to understand students’ perception of their cognitive clinical </w:t>
      </w:r>
      <w:proofErr w:type="gramStart"/>
      <w:r>
        <w:t>skills.</w:t>
      </w:r>
      <w:proofErr w:type="gramEnd"/>
      <w:r>
        <w:t xml:space="preserve"> Materials and methods: This focus group study was conducted in </w:t>
      </w:r>
      <w:proofErr w:type="spellStart"/>
      <w:r>
        <w:t>Almustansiryah</w:t>
      </w:r>
      <w:proofErr w:type="spellEnd"/>
      <w:r>
        <w:t xml:space="preserve"> College of Dentistry. The study sample was nine students. Six students were fifth year students, and three were fourth year students. Focus group discussion was conducted using a set of </w:t>
      </w:r>
      <w:proofErr w:type="spellStart"/>
      <w:r>
        <w:t>openended</w:t>
      </w:r>
      <w:proofErr w:type="spellEnd"/>
      <w:r>
        <w:t xml:space="preserve"> questions based on previous study and the author’s 10 year clinical teaching experience. The model on which the discussions were made was Patient Information Sheet of Oral Surgery Department. </w:t>
      </w:r>
    </w:p>
    <w:p w:rsidR="003E007D" w:rsidRDefault="003E007D" w:rsidP="003E007D">
      <w:r>
        <w:t xml:space="preserve">Results: Reaching diagnosis and making logical treatment decision in the used patient information sheet model, as perceived by students, seem to be a daunting process. The study showed that students have three overlapping views regarding diagnosis and treatment planning items, importance </w:t>
      </w:r>
      <w:proofErr w:type="gramStart"/>
      <w:r>
        <w:t>contradict,</w:t>
      </w:r>
      <w:proofErr w:type="gramEnd"/>
      <w:r>
        <w:t xml:space="preserve"> ambiguity, and deterrence. There are no clear-cut boundaries between these aspects, as important aspects for some participants still ambiguous for others. Ambiguous items is considered by some students consider them as deterrent items. </w:t>
      </w:r>
    </w:p>
    <w:p w:rsidR="003E007D" w:rsidRDefault="003E007D" w:rsidP="003E007D">
      <w:r>
        <w:t xml:space="preserve">Conclusions: Undergraduate dental students seem to have critical awareness toward the diagnostic and treatment planning process, which might indicate that students have interest to develop their clinical cognitive skills. However, the pressure of time with the clinical requirement appears to drive students to give more emphasis on technical skills.  </w:t>
      </w:r>
    </w:p>
    <w:p w:rsidR="00BD40D4" w:rsidRDefault="00BD40D4" w:rsidP="00DF76E0">
      <w:pPr>
        <w:pStyle w:val="Heading3"/>
        <w:spacing w:before="74"/>
        <w:ind w:left="0"/>
        <w:rPr>
          <w:b w:val="0"/>
        </w:rPr>
      </w:pPr>
    </w:p>
    <w:p w:rsidR="00AE3E37" w:rsidRDefault="00BD40D4" w:rsidP="003E007D">
      <w:r w:rsidRPr="00661015">
        <w:rPr>
          <w:b/>
          <w:color w:val="000000"/>
          <w:highlight w:val="yellow"/>
        </w:rPr>
        <w:t>Key words:</w:t>
      </w:r>
      <w:r>
        <w:rPr>
          <w:b/>
          <w:color w:val="000000"/>
        </w:rPr>
        <w:t xml:space="preserve"> </w:t>
      </w:r>
      <w:r w:rsidR="003E007D">
        <w:t>qualitative research, framework approach, students’ clinical cognitive skills, oral surgery.</w:t>
      </w:r>
      <w:r w:rsidR="00A9710C">
        <w:br w:type="column"/>
      </w:r>
      <w:r w:rsidR="00A9710C">
        <w:rPr>
          <w:color w:val="BF5A14"/>
        </w:rPr>
        <w:lastRenderedPageBreak/>
        <w:t>Image</w:t>
      </w:r>
    </w:p>
    <w:p w:rsidR="00AE3E37" w:rsidRDefault="008F28D1">
      <w:pPr>
        <w:pStyle w:val="BodyText"/>
        <w:spacing w:before="2"/>
        <w:rPr>
          <w:rFonts w:ascii="Arial"/>
          <w:b/>
          <w:sz w:val="16"/>
        </w:rPr>
      </w:pPr>
      <w:r>
        <w:rPr>
          <w:rFonts w:ascii="Arial"/>
          <w:b/>
          <w:noProof/>
          <w:sz w:val="16"/>
        </w:rPr>
        <w:drawing>
          <wp:inline distT="0" distB="0" distL="0" distR="0">
            <wp:extent cx="3282462" cy="11714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715" cy="1171504"/>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8F28D1" w:rsidRDefault="008F28D1" w:rsidP="008756E6">
      <w:pPr>
        <w:tabs>
          <w:tab w:val="left" w:pos="384"/>
        </w:tabs>
        <w:ind w:right="117"/>
        <w:rPr>
          <w:rFonts w:ascii="Calibri" w:eastAsia="Calibri" w:hAnsi="Calibri" w:cs="Calibri"/>
          <w:sz w:val="18"/>
        </w:rPr>
      </w:pPr>
      <w:r>
        <w:rPr>
          <w:rFonts w:ascii="Calibri" w:eastAsia="Calibri" w:hAnsi="Calibri" w:cs="Calibri"/>
          <w:sz w:val="18"/>
        </w:rPr>
        <w:t>1-</w:t>
      </w:r>
      <w:r w:rsidRPr="008F28D1">
        <w:rPr>
          <w:rFonts w:ascii="Calibri" w:eastAsia="Calibri" w:hAnsi="Calibri" w:cs="Calibri"/>
          <w:sz w:val="18"/>
        </w:rPr>
        <w:t xml:space="preserve"> An introduction to qualitative research data analysis artistic approach, International Journal of Development Research Vol. 06, Issue, 12, pp</w:t>
      </w:r>
      <w:r>
        <w:rPr>
          <w:rFonts w:ascii="Calibri" w:eastAsia="Calibri" w:hAnsi="Calibri" w:cs="Calibri"/>
          <w:sz w:val="18"/>
        </w:rPr>
        <w:t xml:space="preserve">.1061610619, December, 2016 </w:t>
      </w:r>
    </w:p>
    <w:p w:rsidR="008F28D1" w:rsidRDefault="008F28D1" w:rsidP="008F28D1">
      <w:pPr>
        <w:tabs>
          <w:tab w:val="left" w:pos="384"/>
        </w:tabs>
        <w:ind w:right="117"/>
        <w:rPr>
          <w:rFonts w:ascii="Calibri" w:eastAsia="Calibri" w:hAnsi="Calibri" w:cs="Calibri"/>
          <w:sz w:val="18"/>
        </w:rPr>
      </w:pPr>
      <w:r>
        <w:rPr>
          <w:rFonts w:ascii="Calibri" w:eastAsia="Calibri" w:hAnsi="Calibri" w:cs="Calibri"/>
          <w:sz w:val="18"/>
        </w:rPr>
        <w:t xml:space="preserve">2- </w:t>
      </w:r>
      <w:r w:rsidRPr="008F28D1">
        <w:rPr>
          <w:rFonts w:ascii="Calibri" w:eastAsia="Calibri" w:hAnsi="Calibri" w:cs="Calibri"/>
          <w:sz w:val="18"/>
        </w:rPr>
        <w:t xml:space="preserve">Dental Students› Views of Their Clinical Cognitive Skills. A Qualitative study, </w:t>
      </w:r>
      <w:proofErr w:type="spellStart"/>
      <w:r w:rsidRPr="008F28D1">
        <w:rPr>
          <w:rFonts w:ascii="Calibri" w:eastAsia="Calibri" w:hAnsi="Calibri" w:cs="Calibri"/>
          <w:sz w:val="18"/>
        </w:rPr>
        <w:t>Faaiz</w:t>
      </w:r>
      <w:proofErr w:type="spellEnd"/>
      <w:r w:rsidRPr="008F28D1">
        <w:rPr>
          <w:rFonts w:ascii="Calibri" w:eastAsia="Calibri" w:hAnsi="Calibri" w:cs="Calibri"/>
          <w:sz w:val="18"/>
        </w:rPr>
        <w:t xml:space="preserve"> </w:t>
      </w:r>
      <w:proofErr w:type="spellStart"/>
      <w:r w:rsidRPr="008F28D1">
        <w:rPr>
          <w:rFonts w:ascii="Calibri" w:eastAsia="Calibri" w:hAnsi="Calibri" w:cs="Calibri"/>
          <w:sz w:val="18"/>
        </w:rPr>
        <w:t>Alhamdani</w:t>
      </w:r>
      <w:proofErr w:type="spellEnd"/>
      <w:r w:rsidRPr="008F28D1">
        <w:rPr>
          <w:rFonts w:ascii="Calibri" w:eastAsia="Calibri" w:hAnsi="Calibri" w:cs="Calibri"/>
          <w:sz w:val="18"/>
        </w:rPr>
        <w:t>, JODR, Vol. 4</w:t>
      </w:r>
      <w:proofErr w:type="gramStart"/>
      <w:r w:rsidRPr="008F28D1">
        <w:rPr>
          <w:rFonts w:ascii="Calibri" w:eastAsia="Calibri" w:hAnsi="Calibri" w:cs="Calibri"/>
          <w:sz w:val="18"/>
        </w:rPr>
        <w:t>,  Issue</w:t>
      </w:r>
      <w:proofErr w:type="gramEnd"/>
      <w:r w:rsidRPr="008F28D1">
        <w:rPr>
          <w:rFonts w:ascii="Calibri" w:eastAsia="Calibri" w:hAnsi="Calibri" w:cs="Calibri"/>
          <w:sz w:val="18"/>
        </w:rPr>
        <w:t xml:space="preserve"> 1, 2017) </w:t>
      </w:r>
    </w:p>
    <w:p w:rsidR="008F28D1" w:rsidRDefault="008F28D1" w:rsidP="008F28D1">
      <w:pPr>
        <w:tabs>
          <w:tab w:val="left" w:pos="384"/>
        </w:tabs>
        <w:ind w:right="117"/>
        <w:rPr>
          <w:rFonts w:ascii="Calibri" w:eastAsia="Calibri" w:hAnsi="Calibri" w:cs="Calibri"/>
          <w:sz w:val="18"/>
        </w:rPr>
      </w:pPr>
      <w:r>
        <w:rPr>
          <w:rFonts w:ascii="Calibri" w:eastAsia="Calibri" w:hAnsi="Calibri" w:cs="Calibri"/>
          <w:sz w:val="18"/>
        </w:rPr>
        <w:t xml:space="preserve">3- </w:t>
      </w:r>
      <w:r w:rsidRPr="008F28D1">
        <w:rPr>
          <w:rFonts w:ascii="Calibri" w:eastAsia="Calibri" w:hAnsi="Calibri" w:cs="Calibri"/>
          <w:sz w:val="18"/>
        </w:rPr>
        <w:t xml:space="preserve">Medical Research from Realism to </w:t>
      </w:r>
      <w:proofErr w:type="spellStart"/>
      <w:r w:rsidRPr="008F28D1">
        <w:rPr>
          <w:rFonts w:ascii="Calibri" w:eastAsia="Calibri" w:hAnsi="Calibri" w:cs="Calibri"/>
          <w:sz w:val="18"/>
        </w:rPr>
        <w:t>Abstractism</w:t>
      </w:r>
      <w:proofErr w:type="spellEnd"/>
      <w:r w:rsidRPr="008F28D1">
        <w:rPr>
          <w:rFonts w:ascii="Calibri" w:eastAsia="Calibri" w:hAnsi="Calibri" w:cs="Calibri"/>
          <w:sz w:val="18"/>
        </w:rPr>
        <w:t xml:space="preserve">, </w:t>
      </w:r>
      <w:proofErr w:type="spellStart"/>
      <w:r w:rsidRPr="008F28D1">
        <w:rPr>
          <w:rFonts w:ascii="Calibri" w:eastAsia="Calibri" w:hAnsi="Calibri" w:cs="Calibri"/>
          <w:sz w:val="18"/>
        </w:rPr>
        <w:t>Faaiz</w:t>
      </w:r>
      <w:proofErr w:type="spellEnd"/>
      <w:r w:rsidRPr="008F28D1">
        <w:rPr>
          <w:rFonts w:ascii="Calibri" w:eastAsia="Calibri" w:hAnsi="Calibri" w:cs="Calibri"/>
          <w:sz w:val="18"/>
        </w:rPr>
        <w:t xml:space="preserve"> </w:t>
      </w:r>
      <w:proofErr w:type="spellStart"/>
      <w:r w:rsidRPr="008F28D1">
        <w:rPr>
          <w:rFonts w:ascii="Calibri" w:eastAsia="Calibri" w:hAnsi="Calibri" w:cs="Calibri"/>
          <w:sz w:val="18"/>
        </w:rPr>
        <w:t>Alhamdani</w:t>
      </w:r>
      <w:proofErr w:type="spellEnd"/>
      <w:r w:rsidRPr="008F28D1">
        <w:rPr>
          <w:rFonts w:ascii="Calibri" w:eastAsia="Calibri" w:hAnsi="Calibri" w:cs="Calibri"/>
          <w:sz w:val="18"/>
        </w:rPr>
        <w:t xml:space="preserve">, Public Health Open Journal, Vol.2, Issue 2, 42-45. </w:t>
      </w:r>
    </w:p>
    <w:p w:rsidR="008F28D1" w:rsidRDefault="008F28D1" w:rsidP="008F28D1">
      <w:pPr>
        <w:tabs>
          <w:tab w:val="left" w:pos="384"/>
        </w:tabs>
        <w:ind w:right="117"/>
        <w:rPr>
          <w:rFonts w:ascii="Calibri" w:eastAsia="Calibri" w:hAnsi="Calibri" w:cs="Calibri"/>
          <w:sz w:val="18"/>
        </w:rPr>
      </w:pPr>
      <w:r>
        <w:rPr>
          <w:rFonts w:ascii="Calibri" w:eastAsia="Calibri" w:hAnsi="Calibri" w:cs="Calibri"/>
          <w:sz w:val="18"/>
        </w:rPr>
        <w:t xml:space="preserve">4- </w:t>
      </w:r>
      <w:r w:rsidRPr="008F28D1">
        <w:rPr>
          <w:rFonts w:ascii="Calibri" w:eastAsia="Calibri" w:hAnsi="Calibri" w:cs="Calibri"/>
          <w:sz w:val="18"/>
        </w:rPr>
        <w:t xml:space="preserve">Drawing as Learning Aid in Human Anatomy, Students’ Based Evaluation, </w:t>
      </w:r>
      <w:proofErr w:type="spellStart"/>
      <w:r w:rsidRPr="008F28D1">
        <w:rPr>
          <w:rFonts w:ascii="Calibri" w:eastAsia="Calibri" w:hAnsi="Calibri" w:cs="Calibri"/>
          <w:sz w:val="18"/>
        </w:rPr>
        <w:t>Faaiz</w:t>
      </w:r>
      <w:proofErr w:type="spellEnd"/>
      <w:r w:rsidRPr="008F28D1">
        <w:rPr>
          <w:rFonts w:ascii="Calibri" w:eastAsia="Calibri" w:hAnsi="Calibri" w:cs="Calibri"/>
          <w:sz w:val="18"/>
        </w:rPr>
        <w:t xml:space="preserve"> Y </w:t>
      </w:r>
      <w:proofErr w:type="spellStart"/>
      <w:r w:rsidRPr="008F28D1">
        <w:rPr>
          <w:rFonts w:ascii="Calibri" w:eastAsia="Calibri" w:hAnsi="Calibri" w:cs="Calibri"/>
          <w:sz w:val="18"/>
        </w:rPr>
        <w:t>Alhamdani</w:t>
      </w:r>
      <w:proofErr w:type="spellEnd"/>
      <w:r w:rsidRPr="008F28D1">
        <w:rPr>
          <w:rFonts w:ascii="Calibri" w:eastAsia="Calibri" w:hAnsi="Calibri" w:cs="Calibri"/>
          <w:sz w:val="18"/>
        </w:rPr>
        <w:t xml:space="preserve"> and Hatem A Hatem, Journal of Oral Health and Craniofacial Sciences, Issue 2, 90-95, 2017. </w:t>
      </w:r>
    </w:p>
    <w:p w:rsidR="00AE3E37" w:rsidRPr="008756E6" w:rsidRDefault="008F28D1" w:rsidP="008F28D1">
      <w:pPr>
        <w:tabs>
          <w:tab w:val="left" w:pos="384"/>
        </w:tabs>
        <w:ind w:right="117"/>
      </w:pPr>
      <w:r>
        <w:rPr>
          <w:rFonts w:ascii="Calibri" w:eastAsia="Calibri" w:hAnsi="Calibri" w:cs="Calibri"/>
          <w:sz w:val="18"/>
        </w:rPr>
        <w:t xml:space="preserve">5- </w:t>
      </w:r>
      <w:r w:rsidRPr="008F28D1">
        <w:rPr>
          <w:rFonts w:ascii="Calibri" w:eastAsia="Calibri" w:hAnsi="Calibri" w:cs="Calibri"/>
          <w:sz w:val="18"/>
        </w:rPr>
        <w:t>Issues in Clinical Dental Education</w:t>
      </w:r>
      <w:proofErr w:type="gramStart"/>
      <w:r w:rsidRPr="008F28D1">
        <w:rPr>
          <w:rFonts w:ascii="Calibri" w:eastAsia="Calibri" w:hAnsi="Calibri" w:cs="Calibri"/>
          <w:sz w:val="18"/>
        </w:rPr>
        <w:t xml:space="preserve">,  </w:t>
      </w:r>
      <w:proofErr w:type="spellStart"/>
      <w:r w:rsidRPr="008F28D1">
        <w:rPr>
          <w:rFonts w:ascii="Calibri" w:eastAsia="Calibri" w:hAnsi="Calibri" w:cs="Calibri"/>
          <w:sz w:val="18"/>
        </w:rPr>
        <w:t>Faaiz</w:t>
      </w:r>
      <w:proofErr w:type="spellEnd"/>
      <w:proofErr w:type="gramEnd"/>
      <w:r w:rsidRPr="008F28D1">
        <w:rPr>
          <w:rFonts w:ascii="Calibri" w:eastAsia="Calibri" w:hAnsi="Calibri" w:cs="Calibri"/>
          <w:sz w:val="18"/>
        </w:rPr>
        <w:t xml:space="preserve"> </w:t>
      </w:r>
      <w:proofErr w:type="spellStart"/>
      <w:r w:rsidRPr="008F28D1">
        <w:rPr>
          <w:rFonts w:ascii="Calibri" w:eastAsia="Calibri" w:hAnsi="Calibri" w:cs="Calibri"/>
          <w:sz w:val="18"/>
        </w:rPr>
        <w:t>Alhamdani</w:t>
      </w:r>
      <w:proofErr w:type="spellEnd"/>
      <w:r w:rsidRPr="008F28D1">
        <w:rPr>
          <w:rFonts w:ascii="Calibri" w:eastAsia="Calibri" w:hAnsi="Calibri" w:cs="Calibri"/>
          <w:sz w:val="18"/>
        </w:rPr>
        <w:t>, Journal of Dentistry and Oral Biology, Volume 2 | Issue 6 | Article 1045</w:t>
      </w: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DA7C73" w:rsidRPr="00DA7C73" w:rsidRDefault="00DA7C73" w:rsidP="00DA7C73">
      <w:pPr>
        <w:keepNext/>
        <w:widowControl/>
        <w:spacing w:before="240" w:after="60" w:line="276" w:lineRule="auto"/>
        <w:outlineLvl w:val="1"/>
        <w:rPr>
          <w:rFonts w:asciiTheme="minorBidi" w:eastAsia="Times New Roman" w:hAnsiTheme="minorBidi" w:cstheme="minorBidi"/>
          <w:sz w:val="18"/>
          <w:szCs w:val="18"/>
          <w:lang w:bidi="hi-IN"/>
        </w:rPr>
      </w:pPr>
      <w:r w:rsidRPr="00DA7C73">
        <w:rPr>
          <w:rFonts w:asciiTheme="minorBidi" w:eastAsia="Times New Roman" w:hAnsiTheme="minorBidi" w:cstheme="minorBidi"/>
          <w:sz w:val="18"/>
          <w:szCs w:val="18"/>
          <w:lang w:bidi="hi-IN"/>
        </w:rPr>
        <w:t xml:space="preserve">Dr. </w:t>
      </w:r>
      <w:proofErr w:type="spellStart"/>
      <w:r w:rsidRPr="00DA7C73">
        <w:rPr>
          <w:rFonts w:asciiTheme="minorBidi" w:eastAsia="Times New Roman" w:hAnsiTheme="minorBidi" w:cstheme="minorBidi"/>
          <w:sz w:val="18"/>
          <w:szCs w:val="18"/>
          <w:lang w:bidi="hi-IN"/>
        </w:rPr>
        <w:t>Faaiz</w:t>
      </w:r>
      <w:proofErr w:type="spellEnd"/>
      <w:r w:rsidRPr="00DA7C73">
        <w:rPr>
          <w:rFonts w:asciiTheme="minorBidi" w:eastAsia="Times New Roman" w:hAnsiTheme="minorBidi" w:cstheme="minorBidi"/>
          <w:sz w:val="18"/>
          <w:szCs w:val="18"/>
          <w:lang w:bidi="hi-IN"/>
        </w:rPr>
        <w:t xml:space="preserve"> </w:t>
      </w:r>
      <w:proofErr w:type="spellStart"/>
      <w:r w:rsidRPr="00DA7C73">
        <w:rPr>
          <w:rFonts w:asciiTheme="minorBidi" w:eastAsia="Times New Roman" w:hAnsiTheme="minorBidi" w:cstheme="minorBidi"/>
          <w:sz w:val="18"/>
          <w:szCs w:val="18"/>
          <w:lang w:bidi="hi-IN"/>
        </w:rPr>
        <w:t>Alhamdani</w:t>
      </w:r>
      <w:proofErr w:type="spellEnd"/>
      <w:r w:rsidRPr="00DA7C73">
        <w:rPr>
          <w:rFonts w:asciiTheme="minorBidi" w:eastAsia="Times New Roman" w:hAnsiTheme="minorBidi" w:cstheme="minorBidi"/>
          <w:sz w:val="18"/>
          <w:szCs w:val="18"/>
          <w:lang w:bidi="hi-IN"/>
        </w:rPr>
        <w:t xml:space="preserve"> finished his PhD in Newcastle University, UK in 2012. Since then he became interested in qualitative research methodologies. Beside his interest in qualitative research he is also interested in educational research and quality of life research, </w:t>
      </w:r>
    </w:p>
    <w:p w:rsidR="00DA7C73" w:rsidRPr="00DA7C73" w:rsidRDefault="00DA7C73" w:rsidP="00DA7C73">
      <w:pPr>
        <w:widowControl/>
        <w:spacing w:after="200" w:line="276" w:lineRule="auto"/>
        <w:rPr>
          <w:rFonts w:asciiTheme="minorBidi" w:eastAsiaTheme="minorHAnsi" w:hAnsiTheme="minorBidi" w:cstheme="minorBidi"/>
          <w:sz w:val="18"/>
          <w:szCs w:val="18"/>
          <w:lang w:bidi="hi-IN"/>
        </w:rPr>
      </w:pPr>
      <w:r w:rsidRPr="00DA7C73">
        <w:rPr>
          <w:rFonts w:asciiTheme="minorBidi" w:eastAsiaTheme="minorHAnsi" w:hAnsiTheme="minorBidi" w:cstheme="minorBidi"/>
          <w:sz w:val="18"/>
          <w:szCs w:val="18"/>
          <w:lang w:bidi="hi-IN"/>
        </w:rPr>
        <w:t>From 2012 he co-organized most of Iraqi Division (IAOR) events and in August, 2017 he was the main organizer and President of the 4</w:t>
      </w:r>
      <w:r w:rsidRPr="00DA7C73">
        <w:rPr>
          <w:rFonts w:asciiTheme="minorBidi" w:eastAsiaTheme="minorHAnsi" w:hAnsiTheme="minorBidi" w:cstheme="minorBidi"/>
          <w:sz w:val="18"/>
          <w:szCs w:val="18"/>
          <w:vertAlign w:val="superscript"/>
          <w:lang w:bidi="hi-IN"/>
        </w:rPr>
        <w:t>th</w:t>
      </w:r>
      <w:r w:rsidRPr="00DA7C73">
        <w:rPr>
          <w:rFonts w:asciiTheme="minorBidi" w:eastAsiaTheme="minorHAnsi" w:hAnsiTheme="minorBidi" w:cstheme="minorBidi"/>
          <w:sz w:val="18"/>
          <w:szCs w:val="18"/>
          <w:lang w:bidi="hi-IN"/>
        </w:rPr>
        <w:t xml:space="preserve"> IAOR Scientific Conference in Antalya Turkey. He is also member of The American Association for Advancement of Sciences. </w:t>
      </w:r>
    </w:p>
    <w:p w:rsidR="00AE3E37" w:rsidRDefault="00785BC3" w:rsidP="00785BC3">
      <w:pPr>
        <w:spacing w:before="41" w:line="154" w:lineRule="exact"/>
        <w:ind w:left="213" w:right="231"/>
        <w:jc w:val="both"/>
        <w:rPr>
          <w:rFonts w:ascii="Arial"/>
          <w:sz w:val="14"/>
        </w:rPr>
      </w:pPr>
      <w:r w:rsidRPr="00785BC3">
        <w:rPr>
          <w:rFonts w:ascii="Arial"/>
          <w:sz w:val="14"/>
        </w:rPr>
        <w:lastRenderedPageBreak/>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DA7C7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w:t>
      </w:r>
      <w:proofErr w:type="spellStart"/>
      <w:r w:rsidR="00DA7C73">
        <w:rPr>
          <w:b/>
          <w:color w:val="FF0000"/>
          <w:sz w:val="24"/>
          <w:szCs w:val="24"/>
        </w:rPr>
        <w:t>Faaiz</w:t>
      </w:r>
      <w:proofErr w:type="spellEnd"/>
      <w:r w:rsidR="00DA7C73">
        <w:rPr>
          <w:b/>
          <w:color w:val="FF0000"/>
          <w:sz w:val="24"/>
          <w:szCs w:val="24"/>
        </w:rPr>
        <w:t xml:space="preserve"> </w:t>
      </w:r>
      <w:proofErr w:type="spellStart"/>
      <w:r w:rsidR="00DA7C73">
        <w:rPr>
          <w:b/>
          <w:color w:val="FF0000"/>
          <w:sz w:val="24"/>
          <w:szCs w:val="24"/>
        </w:rPr>
        <w:t>Yaqub</w:t>
      </w:r>
      <w:proofErr w:type="spellEnd"/>
      <w:r w:rsidR="00DA7C73">
        <w:rPr>
          <w:b/>
          <w:color w:val="FF0000"/>
          <w:sz w:val="24"/>
          <w:szCs w:val="24"/>
        </w:rPr>
        <w:t xml:space="preserve"> </w:t>
      </w:r>
      <w:proofErr w:type="spellStart"/>
      <w:r w:rsidR="00DA7C73">
        <w:rPr>
          <w:b/>
          <w:color w:val="FF0000"/>
          <w:sz w:val="24"/>
          <w:szCs w:val="24"/>
        </w:rPr>
        <w:t>Kadhum</w:t>
      </w:r>
      <w:proofErr w:type="spellEnd"/>
      <w:r w:rsidR="00DA7C73">
        <w:rPr>
          <w:b/>
          <w:color w:val="FF0000"/>
          <w:sz w:val="24"/>
          <w:szCs w:val="24"/>
        </w:rPr>
        <w:t xml:space="preserve"> Al- </w:t>
      </w:r>
      <w:proofErr w:type="spellStart"/>
      <w:r w:rsidR="00DA7C73">
        <w:rPr>
          <w:b/>
          <w:color w:val="FF0000"/>
          <w:sz w:val="24"/>
          <w:szCs w:val="24"/>
        </w:rPr>
        <w:t>Hamadani</w:t>
      </w:r>
      <w:proofErr w:type="spellEnd"/>
      <w:r w:rsidRPr="00BF1D4E">
        <w:rPr>
          <w:b/>
          <w:color w:val="FF0000"/>
          <w:sz w:val="24"/>
          <w:szCs w:val="24"/>
        </w:rPr>
        <w:t>):</w:t>
      </w:r>
    </w:p>
    <w:p w:rsidR="00785BC3" w:rsidRPr="00BF1D4E" w:rsidRDefault="00785BC3" w:rsidP="008F28D1">
      <w:pPr>
        <w:rPr>
          <w:b/>
          <w:color w:val="FF0000"/>
          <w:sz w:val="24"/>
          <w:szCs w:val="24"/>
        </w:rPr>
      </w:pPr>
      <w:r w:rsidRPr="00BF1D4E">
        <w:rPr>
          <w:b/>
          <w:color w:val="FF0000"/>
          <w:sz w:val="24"/>
          <w:szCs w:val="24"/>
        </w:rPr>
        <w:t>University</w:t>
      </w:r>
      <w:bookmarkStart w:id="0" w:name="_GoBack"/>
      <w:bookmarkEnd w:id="0"/>
      <w:r w:rsidRPr="00BF1D4E">
        <w:rPr>
          <w:b/>
          <w:color w:val="FF0000"/>
          <w:sz w:val="24"/>
          <w:szCs w:val="24"/>
        </w:rPr>
        <w:t>:</w:t>
      </w:r>
      <w:r w:rsidR="00DA7C73">
        <w:rPr>
          <w:b/>
          <w:color w:val="FF0000"/>
          <w:sz w:val="24"/>
          <w:szCs w:val="24"/>
        </w:rPr>
        <w:t xml:space="preserve"> College of Dentistry, Ibn </w:t>
      </w:r>
      <w:proofErr w:type="spellStart"/>
      <w:r w:rsidR="00DA7C73">
        <w:rPr>
          <w:b/>
          <w:color w:val="FF0000"/>
          <w:sz w:val="24"/>
          <w:szCs w:val="24"/>
        </w:rPr>
        <w:t>Sina</w:t>
      </w:r>
      <w:proofErr w:type="spellEnd"/>
      <w:r w:rsidR="00DA7C73">
        <w:rPr>
          <w:b/>
          <w:color w:val="FF0000"/>
          <w:sz w:val="24"/>
          <w:szCs w:val="24"/>
        </w:rPr>
        <w:t xml:space="preserve"> University for Medical and Pharmaceutical Sciences</w:t>
      </w:r>
    </w:p>
    <w:p w:rsidR="00785BC3" w:rsidRPr="00BF1D4E" w:rsidRDefault="00785BC3" w:rsidP="00DA7C7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 xml:space="preserve">Assistant or Associate </w:t>
      </w:r>
      <w:r w:rsidR="00DA7C73">
        <w:rPr>
          <w:b/>
          <w:color w:val="FF0000"/>
          <w:sz w:val="24"/>
          <w:szCs w:val="24"/>
        </w:rPr>
        <w:t>prof</w:t>
      </w:r>
      <w:r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Country:</w:t>
      </w:r>
      <w:r w:rsidR="00DA7C73">
        <w:rPr>
          <w:b/>
          <w:color w:val="FF0000"/>
          <w:sz w:val="24"/>
          <w:szCs w:val="24"/>
        </w:rPr>
        <w:t xml:space="preserve"> Iraq</w:t>
      </w:r>
    </w:p>
    <w:p w:rsidR="00785BC3" w:rsidRPr="00BF1D4E" w:rsidRDefault="008F28D1" w:rsidP="00785BC3">
      <w:pPr>
        <w:rPr>
          <w:b/>
          <w:color w:val="FF0000"/>
          <w:sz w:val="24"/>
          <w:szCs w:val="24"/>
        </w:rPr>
      </w:pPr>
      <w:r>
        <w:rPr>
          <w:b/>
          <w:color w:val="FF0000"/>
          <w:sz w:val="24"/>
          <w:szCs w:val="24"/>
        </w:rPr>
        <w:t>Mobile number</w:t>
      </w:r>
      <w:r w:rsidR="00785BC3" w:rsidRPr="00BF1D4E">
        <w:rPr>
          <w:b/>
          <w:color w:val="FF0000"/>
          <w:sz w:val="24"/>
          <w:szCs w:val="24"/>
        </w:rPr>
        <w:t>:</w:t>
      </w:r>
      <w:r w:rsidR="00DA7C73">
        <w:rPr>
          <w:b/>
          <w:color w:val="FF0000"/>
          <w:sz w:val="24"/>
          <w:szCs w:val="24"/>
        </w:rPr>
        <w:t xml:space="preserve"> 009647706047791</w:t>
      </w:r>
    </w:p>
    <w:p w:rsidR="00785BC3" w:rsidRPr="00BF1D4E" w:rsidRDefault="00785BC3" w:rsidP="00785BC3">
      <w:pPr>
        <w:rPr>
          <w:b/>
          <w:color w:val="FF0000"/>
          <w:sz w:val="24"/>
          <w:szCs w:val="24"/>
        </w:rPr>
      </w:pPr>
      <w:r w:rsidRPr="00BF1D4E">
        <w:rPr>
          <w:b/>
          <w:color w:val="FF0000"/>
          <w:sz w:val="24"/>
          <w:szCs w:val="24"/>
        </w:rPr>
        <w:t>Email:</w:t>
      </w:r>
      <w:r w:rsidR="008F28D1">
        <w:rPr>
          <w:b/>
          <w:color w:val="FF0000"/>
          <w:sz w:val="24"/>
          <w:szCs w:val="24"/>
        </w:rPr>
        <w:t xml:space="preserve"> faaiz68@gmail.com</w:t>
      </w:r>
    </w:p>
    <w:p w:rsidR="00785BC3" w:rsidRPr="00BF1D4E" w:rsidRDefault="00785BC3" w:rsidP="008F28D1">
      <w:pPr>
        <w:rPr>
          <w:b/>
          <w:color w:val="FF0000"/>
          <w:sz w:val="24"/>
          <w:szCs w:val="24"/>
          <w:lang w:val="en-NZ"/>
        </w:rPr>
      </w:pPr>
      <w:r w:rsidRPr="00BF1D4E">
        <w:rPr>
          <w:b/>
          <w:color w:val="FF0000"/>
          <w:sz w:val="24"/>
          <w:szCs w:val="24"/>
        </w:rPr>
        <w:t xml:space="preserve">Track number: </w:t>
      </w:r>
      <w:hyperlink r:id="rId12" w:history="1">
        <w:r w:rsidRPr="00BF1D4E">
          <w:rPr>
            <w:rStyle w:val="Hyperlink"/>
            <w:b/>
            <w:sz w:val="24"/>
            <w:szCs w:val="24"/>
          </w:rPr>
          <w:t>http://optics.physicsmeeting.com/call-for-abstracts.php</w:t>
        </w:r>
      </w:hyperlink>
      <w:r w:rsidRPr="00BF1D4E">
        <w:rPr>
          <w:b/>
          <w:color w:val="FF0000"/>
          <w:sz w:val="24"/>
          <w:szCs w:val="24"/>
        </w:rPr>
        <w:t xml:space="preserve"> (For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w:t>
      </w:r>
      <w:r w:rsidR="008F28D1">
        <w:rPr>
          <w:b/>
          <w:color w:val="FF0000"/>
          <w:sz w:val="24"/>
          <w:szCs w:val="24"/>
          <w:lang w:val="en-NZ"/>
        </w:rPr>
        <w:t>:</w:t>
      </w:r>
      <w:r w:rsidRPr="00BF1D4E">
        <w:rPr>
          <w:b/>
          <w:color w:val="FF0000"/>
          <w:sz w:val="24"/>
          <w:szCs w:val="24"/>
          <w:lang w:val="en-NZ"/>
        </w:rPr>
        <w:t xml:space="preserve"> (Oral presentation</w:t>
      </w:r>
      <w:r w:rsidR="008F28D1">
        <w:rPr>
          <w:b/>
          <w:color w:val="FF0000"/>
          <w:sz w:val="24"/>
          <w:szCs w:val="24"/>
          <w:lang w:val="en-NZ"/>
        </w:rPr>
        <w:t>)</w:t>
      </w:r>
    </w:p>
    <w:p w:rsidR="00785BC3" w:rsidRPr="00BF1D4E" w:rsidRDefault="00785BC3" w:rsidP="00785BC3">
      <w:pPr>
        <w:rPr>
          <w:b/>
          <w:color w:val="FF0000"/>
          <w:sz w:val="24"/>
          <w:szCs w:val="24"/>
        </w:rPr>
      </w:pPr>
      <w:r w:rsidRPr="00BF1D4E">
        <w:rPr>
          <w:b/>
          <w:color w:val="FF0000"/>
          <w:sz w:val="24"/>
          <w:szCs w:val="24"/>
        </w:rPr>
        <w:t>Research interest:</w:t>
      </w:r>
      <w:r w:rsidR="00DA7C73">
        <w:rPr>
          <w:b/>
          <w:color w:val="FF0000"/>
          <w:sz w:val="24"/>
          <w:szCs w:val="24"/>
        </w:rPr>
        <w:t xml:space="preserve"> Qualitative Research, Educational Research</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r w:rsidR="008F28D1">
        <w:rPr>
          <w:sz w:val="14"/>
          <w:szCs w:val="24"/>
          <w:lang w:val="en-NZ"/>
        </w:rPr>
        <w:t xml:space="preserve"> </w:t>
      </w:r>
      <w:r w:rsidR="008F28D1" w:rsidRPr="008F28D1">
        <w:rPr>
          <w:sz w:val="14"/>
          <w:szCs w:val="24"/>
          <w:lang w:val="en-NZ"/>
        </w:rPr>
        <w:t>http://www.ibnsina.edu.iq/upload/upfile/ar/653.pdf</w:t>
      </w:r>
    </w:p>
    <w:p w:rsidR="00785BC3" w:rsidRPr="00DF76E0" w:rsidRDefault="00785BC3" w:rsidP="00785BC3">
      <w:pPr>
        <w:rPr>
          <w:sz w:val="14"/>
          <w:szCs w:val="24"/>
        </w:rPr>
      </w:pPr>
      <w:r w:rsidRPr="00DF76E0">
        <w:rPr>
          <w:sz w:val="14"/>
          <w:szCs w:val="24"/>
        </w:rPr>
        <w:t>Year of birth:</w:t>
      </w:r>
      <w:r w:rsidR="008F28D1">
        <w:rPr>
          <w:sz w:val="14"/>
          <w:szCs w:val="24"/>
        </w:rPr>
        <w:t xml:space="preserve"> 1/12/1968</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8D4" w:rsidRDefault="00E538D4">
      <w:r>
        <w:separator/>
      </w:r>
    </w:p>
  </w:endnote>
  <w:endnote w:type="continuationSeparator" w:id="0">
    <w:p w:rsidR="00E538D4" w:rsidRDefault="00E53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8D4" w:rsidRDefault="00E538D4">
      <w:r>
        <w:separator/>
      </w:r>
    </w:p>
  </w:footnote>
  <w:footnote w:type="continuationSeparator" w:id="0">
    <w:p w:rsidR="00E538D4" w:rsidRDefault="00E538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67B7E"/>
    <w:rsid w:val="00292ED9"/>
    <w:rsid w:val="00375C34"/>
    <w:rsid w:val="003B13B1"/>
    <w:rsid w:val="003E007D"/>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031DD"/>
    <w:rsid w:val="00873DF0"/>
    <w:rsid w:val="008756E6"/>
    <w:rsid w:val="008F28D1"/>
    <w:rsid w:val="009B2D44"/>
    <w:rsid w:val="00A07E82"/>
    <w:rsid w:val="00A9710C"/>
    <w:rsid w:val="00AE3E37"/>
    <w:rsid w:val="00B21A57"/>
    <w:rsid w:val="00BD40D4"/>
    <w:rsid w:val="00BF1D4E"/>
    <w:rsid w:val="00C33602"/>
    <w:rsid w:val="00CD6F55"/>
    <w:rsid w:val="00DA7C73"/>
    <w:rsid w:val="00DE3104"/>
    <w:rsid w:val="00DF76E0"/>
    <w:rsid w:val="00E434E9"/>
    <w:rsid w:val="00E538D4"/>
    <w:rsid w:val="00EB3372"/>
    <w:rsid w:val="00F52C13"/>
    <w:rsid w:val="00F72EEA"/>
    <w:rsid w:val="00F84CAE"/>
    <w:rsid w:val="00FD402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optics.physicsmeeting.com/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DR.Ahmed Saker 2o1O</cp:lastModifiedBy>
  <cp:revision>4</cp:revision>
  <dcterms:created xsi:type="dcterms:W3CDTF">2018-06-22T10:18:00Z</dcterms:created>
  <dcterms:modified xsi:type="dcterms:W3CDTF">2018-06-22T10:38:00Z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