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7AA5" w:rsidRPr="00311CEC" w:rsidRDefault="00807AA5" w:rsidP="00807AA5">
      <w:pPr>
        <w:spacing w:line="480" w:lineRule="auto"/>
        <w:jc w:val="center"/>
        <w:rPr>
          <w:b/>
          <w:bCs/>
        </w:rPr>
      </w:pPr>
      <w:r w:rsidRPr="00311CEC">
        <w:rPr>
          <w:b/>
          <w:bCs/>
        </w:rPr>
        <w:t>ABSTRACT</w:t>
      </w:r>
    </w:p>
    <w:p w:rsidR="00807AA5" w:rsidRPr="00993733" w:rsidRDefault="00807AA5" w:rsidP="00807AA5">
      <w:pPr>
        <w:spacing w:line="480" w:lineRule="auto"/>
        <w:rPr>
          <w:b/>
          <w:bCs/>
        </w:rPr>
      </w:pPr>
      <w:r>
        <w:rPr>
          <w:b/>
          <w:bCs/>
        </w:rPr>
        <w:t>Effect of Time on Clinical Efficacy of Topical A</w:t>
      </w:r>
      <w:r w:rsidRPr="00993733">
        <w:rPr>
          <w:b/>
          <w:bCs/>
        </w:rPr>
        <w:t>n</w:t>
      </w:r>
      <w:r>
        <w:rPr>
          <w:b/>
          <w:bCs/>
        </w:rPr>
        <w:t>a</w:t>
      </w:r>
      <w:r w:rsidRPr="00993733">
        <w:rPr>
          <w:b/>
          <w:bCs/>
        </w:rPr>
        <w:t>esthe</w:t>
      </w:r>
      <w:r>
        <w:rPr>
          <w:b/>
          <w:bCs/>
        </w:rPr>
        <w:t xml:space="preserve">sia. </w:t>
      </w:r>
    </w:p>
    <w:p w:rsidR="00807AA5" w:rsidRPr="00993733" w:rsidRDefault="00807AA5" w:rsidP="00807AA5">
      <w:pPr>
        <w:tabs>
          <w:tab w:val="left" w:pos="2070"/>
        </w:tabs>
        <w:spacing w:line="480" w:lineRule="auto"/>
        <w:jc w:val="both"/>
      </w:pPr>
      <w:r>
        <w:t>Intraoral t</w:t>
      </w:r>
      <w:r w:rsidRPr="00993733">
        <w:t>opical local an</w:t>
      </w:r>
      <w:r>
        <w:t>a</w:t>
      </w:r>
      <w:r w:rsidRPr="00993733">
        <w:t xml:space="preserve">esthetic </w:t>
      </w:r>
      <w:r>
        <w:t xml:space="preserve">is used </w:t>
      </w:r>
      <w:r w:rsidRPr="00993733">
        <w:t xml:space="preserve">to reduce </w:t>
      </w:r>
      <w:r>
        <w:t xml:space="preserve">the </w:t>
      </w:r>
      <w:r w:rsidRPr="00993733">
        <w:t xml:space="preserve">discomfort </w:t>
      </w:r>
      <w:r>
        <w:t>of</w:t>
      </w:r>
      <w:r w:rsidRPr="00993733">
        <w:t xml:space="preserve"> injection. </w:t>
      </w:r>
      <w:r>
        <w:t>OBJECTIVES: 1) To</w:t>
      </w:r>
      <w:r w:rsidRPr="00993733">
        <w:t xml:space="preserve"> determine the effect of time on the clinical efficacy of </w:t>
      </w:r>
      <w:r>
        <w:t xml:space="preserve">the </w:t>
      </w:r>
      <w:r w:rsidRPr="00993733">
        <w:t>topical an</w:t>
      </w:r>
      <w:r>
        <w:t>a</w:t>
      </w:r>
      <w:r w:rsidRPr="00993733">
        <w:t>esthetic 5% lidocaine. 2) To determine w</w:t>
      </w:r>
      <w:r>
        <w:t>h</w:t>
      </w:r>
      <w:r w:rsidRPr="00993733">
        <w:t xml:space="preserve">ether </w:t>
      </w:r>
      <w:r>
        <w:t>it</w:t>
      </w:r>
      <w:r w:rsidRPr="00993733">
        <w:t xml:space="preserve"> </w:t>
      </w:r>
      <w:r>
        <w:t>i</w:t>
      </w:r>
      <w:r w:rsidRPr="00993733">
        <w:t xml:space="preserve">s as effective in reducing pain </w:t>
      </w:r>
      <w:r>
        <w:t>in the palate</w:t>
      </w:r>
      <w:r w:rsidRPr="00993733">
        <w:t xml:space="preserve"> </w:t>
      </w:r>
      <w:r>
        <w:t>up</w:t>
      </w:r>
      <w:r w:rsidRPr="00993733">
        <w:t xml:space="preserve">on injection </w:t>
      </w:r>
      <w:r>
        <w:t>compared with</w:t>
      </w:r>
      <w:r w:rsidRPr="00993733">
        <w:t xml:space="preserve"> needle insertion</w:t>
      </w:r>
      <w:r>
        <w:t xml:space="preserve"> alone</w:t>
      </w:r>
      <w:r w:rsidRPr="00993733">
        <w:t>.</w:t>
      </w:r>
      <w:r>
        <w:t xml:space="preserve"> 3) To correlate pain relief and heart rate. </w:t>
      </w:r>
      <w:r w:rsidRPr="00993733">
        <w:t>METHODS: This randomized</w:t>
      </w:r>
      <w:r>
        <w:t>,</w:t>
      </w:r>
      <w:r w:rsidRPr="00993733">
        <w:t xml:space="preserve"> double blind, placebo controlled</w:t>
      </w:r>
      <w:r>
        <w:t>, split-mouth,</w:t>
      </w:r>
      <w:r w:rsidRPr="00993733">
        <w:t xml:space="preserve"> </w:t>
      </w:r>
      <w:r>
        <w:t>clinical trial</w:t>
      </w:r>
      <w:r w:rsidRPr="00993733">
        <w:t xml:space="preserve"> enrolled 90 </w:t>
      </w:r>
      <w:r>
        <w:t>subjects,</w:t>
      </w:r>
      <w:r w:rsidRPr="00993733">
        <w:t xml:space="preserve"> </w:t>
      </w:r>
      <w:r>
        <w:t xml:space="preserve">equally </w:t>
      </w:r>
      <w:r w:rsidRPr="00993733">
        <w:t xml:space="preserve">divided into </w:t>
      </w:r>
      <w:r>
        <w:t>3</w:t>
      </w:r>
      <w:r w:rsidRPr="00993733">
        <w:t xml:space="preserve"> major groups </w:t>
      </w:r>
      <w:r>
        <w:t>based</w:t>
      </w:r>
      <w:r w:rsidRPr="00993733">
        <w:t xml:space="preserve"> upon time </w:t>
      </w:r>
      <w:r>
        <w:t>of</w:t>
      </w:r>
      <w:r w:rsidRPr="00993733">
        <w:t xml:space="preserve"> topical an</w:t>
      </w:r>
      <w:r>
        <w:t>a</w:t>
      </w:r>
      <w:r w:rsidRPr="00993733">
        <w:t>esthetic</w:t>
      </w:r>
      <w:r w:rsidRPr="000F0A13">
        <w:t xml:space="preserve"> </w:t>
      </w:r>
      <w:r>
        <w:t>application</w:t>
      </w:r>
      <w:r w:rsidRPr="00993733">
        <w:t xml:space="preserve"> (2, 5 or 10 minutes). Each group was </w:t>
      </w:r>
      <w:r>
        <w:t>further subdivided into 2 groups:</w:t>
      </w:r>
      <w:r w:rsidRPr="00993733">
        <w:t xml:space="preserve"> needle insertion only or needle insertion </w:t>
      </w:r>
      <w:r>
        <w:t>with</w:t>
      </w:r>
      <w:r w:rsidRPr="00993733">
        <w:t xml:space="preserve"> deposition </w:t>
      </w:r>
      <w:r>
        <w:t xml:space="preserve">of </w:t>
      </w:r>
      <w:r w:rsidRPr="00993733">
        <w:t>an</w:t>
      </w:r>
      <w:r>
        <w:t>a</w:t>
      </w:r>
      <w:r w:rsidRPr="00993733">
        <w:t>esthetic (</w:t>
      </w:r>
      <w:r>
        <w:t xml:space="preserve">0.5mL 3% </w:t>
      </w:r>
      <w:r w:rsidRPr="00993733">
        <w:t>mepivacaine</w:t>
      </w:r>
      <w:r w:rsidRPr="008469F7">
        <w:t xml:space="preserve"> </w:t>
      </w:r>
      <w:r w:rsidRPr="00993733">
        <w:t>plain)</w:t>
      </w:r>
      <w:r w:rsidRPr="000F0A13">
        <w:t xml:space="preserve"> </w:t>
      </w:r>
      <w:r>
        <w:t>in the palate</w:t>
      </w:r>
      <w:r w:rsidRPr="00993733">
        <w:t>.</w:t>
      </w:r>
      <w:r>
        <w:t xml:space="preserve"> Each subject received drug on one side of the palate and placebo on the other. Subjects recorded pain on a 100</w:t>
      </w:r>
      <w:r w:rsidRPr="00993733">
        <w:t xml:space="preserve">mm </w:t>
      </w:r>
      <w:r>
        <w:t>visual analogue scale and heart rate readings were recorded on specially designed forms</w:t>
      </w:r>
      <w:r w:rsidRPr="00993733">
        <w:t>. RESUL</w:t>
      </w:r>
      <w:r>
        <w:t>TS</w:t>
      </w:r>
      <w:r w:rsidRPr="00993733">
        <w:t xml:space="preserve">: </w:t>
      </w:r>
      <w:r>
        <w:t xml:space="preserve">For needle insertion only, </w:t>
      </w:r>
      <w:r w:rsidRPr="00993733">
        <w:t>5% lidocaine</w:t>
      </w:r>
      <w:r>
        <w:t xml:space="preserve"> reduced pain as determined by a significant difference in mean VAS after 2 </w:t>
      </w:r>
      <w:r w:rsidRPr="00993733">
        <w:t>minute</w:t>
      </w:r>
      <w:r>
        <w:t>s</w:t>
      </w:r>
      <w:r w:rsidRPr="00993733">
        <w:t xml:space="preserve"> </w:t>
      </w:r>
      <w:r>
        <w:t>(</w:t>
      </w:r>
      <w:r w:rsidRPr="00993733">
        <w:t>20.1</w:t>
      </w:r>
      <w:r>
        <w:t xml:space="preserve">mm, p&lt;0.002), 5 minutes (15.7mm, p&lt;0.022) and 10 minutes (13.7mm, p&lt;0.04), as analyzed by paired </w:t>
      </w:r>
      <w:r w:rsidRPr="00B41383">
        <w:rPr>
          <w:i/>
        </w:rPr>
        <w:t>t</w:t>
      </w:r>
      <w:r>
        <w:t>-tests. For needle insertion plus injection of local anesthetic, a significant difference</w:t>
      </w:r>
      <w:r w:rsidRPr="00442546">
        <w:t xml:space="preserve"> </w:t>
      </w:r>
      <w:r>
        <w:t>in mean VAS was noted only after 10 minutes (14.9mm, p&lt;0.031), but not at 2 minutes (8.0mm, p=0.2) or 5 minutes (9.3mm, p=0.17)</w:t>
      </w:r>
      <w:r w:rsidRPr="00442546">
        <w:t xml:space="preserve"> </w:t>
      </w:r>
      <w:r>
        <w:t xml:space="preserve">as analyzed by paired </w:t>
      </w:r>
      <w:r w:rsidRPr="00B41383">
        <w:rPr>
          <w:i/>
        </w:rPr>
        <w:t>t</w:t>
      </w:r>
      <w:r>
        <w:t xml:space="preserve">-tests. Time of application did not result in a significant difference in effect for either needle insertion (p=0.73) or needle insertion plus injection of local anesthetic (p=0.7), as analyzed by one-way ANOVA. No conclusions were reached for the correlations between pain relief and heart rate. </w:t>
      </w:r>
      <w:r w:rsidRPr="008705EB">
        <w:rPr>
          <w:caps/>
        </w:rPr>
        <w:t>Conclusions</w:t>
      </w:r>
      <w:r>
        <w:t xml:space="preserve">: Topical anesthetic application relieves pain from needle insertion in the palate after any one of 2, 5 or 10 minutes of application, but requires 10 minutes in order to reduce pain from local anaesthetic injection. </w:t>
      </w:r>
    </w:p>
    <w:p w:rsidR="008835C0" w:rsidRDefault="003C27C3">
      <w:r>
        <w:lastRenderedPageBreak/>
        <w:t>Author Bio</w:t>
      </w:r>
    </w:p>
    <w:p w:rsidR="003C4774" w:rsidRDefault="003C4774" w:rsidP="003C4774">
      <w:pPr>
        <w:autoSpaceDE w:val="0"/>
        <w:autoSpaceDN w:val="0"/>
        <w:adjustRightInd w:val="0"/>
        <w:rPr>
          <w:rFonts w:ascii="Helvetica" w:eastAsiaTheme="minorHAnsi" w:hAnsi="Helvetica" w:cs="Helvetica"/>
          <w:color w:val="C9362E"/>
          <w:sz w:val="34"/>
          <w:szCs w:val="34"/>
          <w:lang w:val="en-CA"/>
        </w:rPr>
      </w:pPr>
      <w:r>
        <w:rPr>
          <w:rFonts w:ascii="Helvetica" w:eastAsiaTheme="minorHAnsi" w:hAnsi="Helvetica" w:cs="Helvetica"/>
          <w:color w:val="C9362E"/>
          <w:sz w:val="34"/>
          <w:szCs w:val="34"/>
          <w:lang w:val="en-CA"/>
        </w:rPr>
        <w:t>Dr. Jasdev Bhalla, B.D.S., M.Sc., FADSA (Dental Anesthesiologist)</w:t>
      </w:r>
    </w:p>
    <w:p w:rsidR="003C4774" w:rsidRDefault="003C4774" w:rsidP="003C4774">
      <w:pPr>
        <w:autoSpaceDE w:val="0"/>
        <w:autoSpaceDN w:val="0"/>
        <w:adjustRightInd w:val="0"/>
        <w:rPr>
          <w:rFonts w:ascii="Arial" w:eastAsiaTheme="minorHAnsi" w:hAnsi="Arial" w:cs="Arial"/>
          <w:color w:val="626363"/>
          <w:sz w:val="32"/>
          <w:szCs w:val="32"/>
          <w:lang w:val="en-CA"/>
        </w:rPr>
      </w:pPr>
    </w:p>
    <w:p w:rsidR="003C4774" w:rsidRDefault="003C4774" w:rsidP="003C4774">
      <w:pPr>
        <w:autoSpaceDE w:val="0"/>
        <w:autoSpaceDN w:val="0"/>
        <w:adjustRightInd w:val="0"/>
        <w:rPr>
          <w:rFonts w:ascii="Arial" w:eastAsiaTheme="minorHAnsi" w:hAnsi="Arial" w:cs="Arial"/>
          <w:color w:val="626363"/>
          <w:sz w:val="32"/>
          <w:szCs w:val="32"/>
          <w:lang w:val="en-CA"/>
        </w:rPr>
      </w:pPr>
      <w:r>
        <w:rPr>
          <w:rFonts w:ascii="Arial" w:eastAsiaTheme="minorHAnsi" w:hAnsi="Arial" w:cs="Arial"/>
          <w:noProof/>
          <w:color w:val="626363"/>
          <w:sz w:val="32"/>
          <w:szCs w:val="32"/>
          <w:lang w:val="en-CA"/>
        </w:rPr>
        <w:drawing>
          <wp:inline distT="0" distB="0" distL="0" distR="0">
            <wp:extent cx="1657985" cy="1909445"/>
            <wp:effectExtent l="0" t="0" r="571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985" cy="1909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774" w:rsidRDefault="003C4774" w:rsidP="003C4774">
      <w:pPr>
        <w:autoSpaceDE w:val="0"/>
        <w:autoSpaceDN w:val="0"/>
        <w:adjustRightInd w:val="0"/>
        <w:rPr>
          <w:rFonts w:ascii="Arial" w:eastAsiaTheme="minorHAnsi" w:hAnsi="Arial" w:cs="Arial"/>
          <w:color w:val="565656"/>
          <w:sz w:val="32"/>
          <w:szCs w:val="32"/>
          <w:lang w:val="en-CA"/>
        </w:rPr>
      </w:pPr>
      <w:r>
        <w:rPr>
          <w:rFonts w:ascii="Arial" w:eastAsiaTheme="minorHAnsi" w:hAnsi="Arial" w:cs="Arial"/>
          <w:color w:val="565656"/>
          <w:sz w:val="32"/>
          <w:szCs w:val="32"/>
          <w:lang w:val="en-CA"/>
        </w:rPr>
        <w:t xml:space="preserve">Dr. Jasdev Bhalla is a </w:t>
      </w:r>
      <w:r>
        <w:rPr>
          <w:rFonts w:ascii="Arial" w:eastAsiaTheme="minorHAnsi" w:hAnsi="Arial" w:cs="Arial"/>
          <w:color w:val="565656"/>
          <w:sz w:val="32"/>
          <w:szCs w:val="32"/>
          <w:lang w:val="en-CA"/>
        </w:rPr>
        <w:t>Board-Certified</w:t>
      </w:r>
      <w:r>
        <w:rPr>
          <w:rFonts w:ascii="Arial" w:eastAsiaTheme="minorHAnsi" w:hAnsi="Arial" w:cs="Arial"/>
          <w:color w:val="565656"/>
          <w:sz w:val="32"/>
          <w:szCs w:val="32"/>
          <w:lang w:val="en-CA"/>
        </w:rPr>
        <w:t xml:space="preserve"> Specialist in Dental Anesthesiology and is a Diplomat of the American Board of Dental Anesthesiology. He was the first in Canada to achieve this certification from the Royal College of Dental Surgeons of Ontario in 2008.</w:t>
      </w:r>
    </w:p>
    <w:p w:rsidR="003C4774" w:rsidRDefault="003C4774" w:rsidP="003C4774">
      <w:pPr>
        <w:autoSpaceDE w:val="0"/>
        <w:autoSpaceDN w:val="0"/>
        <w:adjustRightInd w:val="0"/>
        <w:rPr>
          <w:rFonts w:ascii="Arial" w:eastAsiaTheme="minorHAnsi" w:hAnsi="Arial" w:cs="Arial"/>
          <w:color w:val="515151"/>
          <w:sz w:val="32"/>
          <w:szCs w:val="32"/>
          <w:lang w:val="en-CA"/>
        </w:rPr>
      </w:pPr>
      <w:r>
        <w:rPr>
          <w:rFonts w:ascii="Arial" w:eastAsiaTheme="minorHAnsi" w:hAnsi="Arial" w:cs="Arial"/>
          <w:color w:val="565656"/>
          <w:sz w:val="32"/>
          <w:szCs w:val="32"/>
          <w:lang w:val="en-CA"/>
        </w:rPr>
        <w:t>Dr. Bhalla is also a former Clinical Instructor at the University of Toronto, in the Department of Dental Anesthesia. He previously held an Assistant Professorship at the same university</w:t>
      </w:r>
      <w:r w:rsidR="00E33EE0">
        <w:rPr>
          <w:rFonts w:ascii="MS Gothic" w:eastAsia="MS Gothic" w:hAnsi="MS Gothic" w:cs="MS Gothic" w:hint="eastAsia"/>
          <w:color w:val="565656"/>
          <w:sz w:val="32"/>
          <w:szCs w:val="32"/>
          <w:lang w:val="en-CA"/>
        </w:rPr>
        <w:t>.</w:t>
      </w:r>
      <w:r>
        <w:rPr>
          <w:rFonts w:ascii="Arial" w:eastAsiaTheme="minorHAnsi" w:hAnsi="Arial" w:cs="Arial"/>
          <w:color w:val="565656"/>
          <w:sz w:val="32"/>
          <w:szCs w:val="32"/>
          <w:lang w:val="en-CA"/>
        </w:rPr>
        <w:t>Dr. Bhalla oversees the safe sedation of both children and adult patients. He holds additional training in Pediatric Advanced Life Support (P.A.L.S. - for children) and Advanced Cardiac Life Support (for adults.)</w:t>
      </w:r>
    </w:p>
    <w:p w:rsidR="003C27C3" w:rsidRDefault="003C4774" w:rsidP="003C4774">
      <w:pPr>
        <w:rPr>
          <w:rFonts w:ascii="Arial" w:eastAsiaTheme="minorHAnsi" w:hAnsi="Arial" w:cs="Arial"/>
          <w:color w:val="515151"/>
          <w:sz w:val="32"/>
          <w:szCs w:val="32"/>
          <w:lang w:val="en-CA"/>
        </w:rPr>
      </w:pPr>
      <w:r>
        <w:rPr>
          <w:rFonts w:ascii="Arial" w:eastAsiaTheme="minorHAnsi" w:hAnsi="Arial" w:cs="Arial"/>
          <w:color w:val="515151"/>
          <w:sz w:val="32"/>
          <w:szCs w:val="32"/>
          <w:lang w:val="en-CA"/>
        </w:rPr>
        <w:t xml:space="preserve">He has a strong commitment to life-long study and continuing education. The goal of Dr. Bhalla's continual learning is to promote patient safety and impeccable practice </w:t>
      </w:r>
      <w:r w:rsidR="00E33EE0">
        <w:rPr>
          <w:rFonts w:ascii="Arial" w:eastAsiaTheme="minorHAnsi" w:hAnsi="Arial" w:cs="Arial"/>
          <w:color w:val="515151"/>
          <w:sz w:val="32"/>
          <w:szCs w:val="32"/>
          <w:lang w:val="en-CA"/>
        </w:rPr>
        <w:t>standards in his private practices.</w:t>
      </w:r>
    </w:p>
    <w:p w:rsidR="00E33EE0" w:rsidRDefault="00E33EE0" w:rsidP="003C4774">
      <w:pPr>
        <w:rPr>
          <w:rFonts w:ascii="Arial" w:eastAsiaTheme="minorHAnsi" w:hAnsi="Arial" w:cs="Arial"/>
          <w:color w:val="515151"/>
          <w:sz w:val="32"/>
          <w:szCs w:val="32"/>
          <w:lang w:val="en-CA"/>
        </w:rPr>
      </w:pPr>
      <w:r>
        <w:rPr>
          <w:rFonts w:ascii="Arial" w:eastAsiaTheme="minorHAnsi" w:hAnsi="Arial" w:cs="Arial"/>
          <w:color w:val="515151"/>
          <w:sz w:val="32"/>
          <w:szCs w:val="32"/>
          <w:lang w:val="en-CA"/>
        </w:rPr>
        <w:t>He also is founder and promoter of MM Sedation Study Club through which he shares his knowledge and expertise with General and Specialist dentists in the exciting field of sedation dentistry.</w:t>
      </w:r>
    </w:p>
    <w:p w:rsidR="00E33EE0" w:rsidRDefault="00E33EE0" w:rsidP="003C4774">
      <w:pPr>
        <w:rPr>
          <w:rFonts w:ascii="Arial" w:eastAsiaTheme="minorHAnsi" w:hAnsi="Arial" w:cs="Arial"/>
          <w:color w:val="515151"/>
          <w:sz w:val="32"/>
          <w:szCs w:val="32"/>
          <w:lang w:val="en-CA"/>
        </w:rPr>
      </w:pPr>
      <w:r>
        <w:rPr>
          <w:rFonts w:ascii="Arial" w:eastAsiaTheme="minorHAnsi" w:hAnsi="Arial" w:cs="Arial"/>
          <w:color w:val="515151"/>
          <w:sz w:val="32"/>
          <w:szCs w:val="32"/>
          <w:lang w:val="en-CA"/>
        </w:rPr>
        <w:t>He has also been involved in designing Nitrous Oxide and Oxygen Mixers.</w:t>
      </w:r>
    </w:p>
    <w:p w:rsidR="00E33EE0" w:rsidRDefault="00E33EE0" w:rsidP="003C4774">
      <w:r>
        <w:rPr>
          <w:rFonts w:ascii="Arial" w:eastAsiaTheme="minorHAnsi" w:hAnsi="Arial" w:cs="Arial"/>
          <w:color w:val="515151"/>
          <w:sz w:val="32"/>
          <w:szCs w:val="32"/>
          <w:lang w:val="en-CA"/>
        </w:rPr>
        <w:lastRenderedPageBreak/>
        <w:t>He lectures both nationally and internationally on sedation practices in dentistry apart from guiding dentists in managing medical emergencies in dental practice.</w:t>
      </w:r>
      <w:bookmarkStart w:id="0" w:name="_GoBack"/>
      <w:bookmarkEnd w:id="0"/>
    </w:p>
    <w:sectPr w:rsidR="00E33EE0" w:rsidSect="00DA1C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AA5"/>
    <w:rsid w:val="003C27C3"/>
    <w:rsid w:val="003C4774"/>
    <w:rsid w:val="00807AA5"/>
    <w:rsid w:val="00B33DA7"/>
    <w:rsid w:val="00DA1C7C"/>
    <w:rsid w:val="00E33EE0"/>
    <w:rsid w:val="00FE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141FB"/>
  <w14:defaultImageDpi w14:val="32767"/>
  <w15:chartTrackingRefBased/>
  <w15:docId w15:val="{57A68181-AC5A-4342-BCC3-4A248A1CD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07AA5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507</Words>
  <Characters>2891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komil bhalla</dc:creator>
  <cp:keywords/>
  <dc:description/>
  <cp:lastModifiedBy>komil bhalla</cp:lastModifiedBy>
  <cp:revision>3</cp:revision>
  <dcterms:created xsi:type="dcterms:W3CDTF">2018-02-22T00:26:00Z</dcterms:created>
  <dcterms:modified xsi:type="dcterms:W3CDTF">2018-02-22T23:53:00Z</dcterms:modified>
</cp:coreProperties>
</file>