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8C0" w:rsidRPr="004E58C0" w:rsidRDefault="004E58C0" w:rsidP="004E58C0">
      <w:pPr>
        <w:widowControl/>
        <w:bidi/>
        <w:spacing w:after="200" w:line="276" w:lineRule="auto"/>
        <w:jc w:val="center"/>
        <w:rPr>
          <w:rFonts w:ascii="Times New Roman" w:eastAsia="Times New Roman" w:hAnsi="Times New Roman" w:cs="Times New Roman"/>
          <w:sz w:val="24"/>
          <w:szCs w:val="24"/>
        </w:rPr>
      </w:pPr>
      <w:r w:rsidRPr="004E58C0">
        <w:rPr>
          <w:rFonts w:ascii="Times New Roman" w:eastAsia="Times New Roman" w:hAnsi="Times New Roman" w:cs="Times New Roman"/>
          <w:sz w:val="24"/>
          <w:szCs w:val="24"/>
        </w:rPr>
        <w:t xml:space="preserve">Structural of </w:t>
      </w:r>
      <w:proofErr w:type="spellStart"/>
      <w:r w:rsidRPr="004E58C0">
        <w:rPr>
          <w:rFonts w:ascii="Times New Roman" w:eastAsia="Times New Roman" w:hAnsi="Times New Roman" w:cs="Times New Roman"/>
          <w:sz w:val="24"/>
          <w:szCs w:val="24"/>
        </w:rPr>
        <w:t>Pd</w:t>
      </w:r>
      <w:proofErr w:type="spellEnd"/>
      <w:r w:rsidRPr="004E58C0">
        <w:rPr>
          <w:rFonts w:ascii="Times New Roman" w:eastAsia="Times New Roman" w:hAnsi="Times New Roman" w:cs="Times New Roman"/>
          <w:sz w:val="24"/>
          <w:szCs w:val="24"/>
        </w:rPr>
        <w:t xml:space="preserve">(II) and </w:t>
      </w:r>
      <w:proofErr w:type="spellStart"/>
      <w:r w:rsidRPr="004E58C0">
        <w:rPr>
          <w:rFonts w:ascii="Times New Roman" w:eastAsia="Times New Roman" w:hAnsi="Times New Roman" w:cs="Times New Roman"/>
          <w:sz w:val="24"/>
          <w:szCs w:val="24"/>
        </w:rPr>
        <w:t>Pt</w:t>
      </w:r>
      <w:proofErr w:type="spellEnd"/>
      <w:r w:rsidRPr="004E58C0">
        <w:rPr>
          <w:rFonts w:ascii="Times New Roman" w:eastAsia="Times New Roman" w:hAnsi="Times New Roman" w:cs="Times New Roman"/>
          <w:sz w:val="24"/>
          <w:szCs w:val="24"/>
        </w:rPr>
        <w:t xml:space="preserve">(II) complexes of </w:t>
      </w:r>
      <w:r w:rsidRPr="004E58C0">
        <w:rPr>
          <w:rFonts w:ascii="Times New Roman" w:eastAsia="Times New Roman" w:hAnsi="Times New Roman" w:cs="Times New Roman"/>
          <w:i/>
          <w:iCs/>
          <w:sz w:val="24"/>
          <w:szCs w:val="24"/>
        </w:rPr>
        <w:t>N</w:t>
      </w:r>
      <w:r w:rsidRPr="004E58C0">
        <w:rPr>
          <w:rFonts w:ascii="Times New Roman" w:eastAsia="Times New Roman" w:hAnsi="Times New Roman" w:cs="Times New Roman"/>
          <w:sz w:val="24"/>
          <w:szCs w:val="24"/>
        </w:rPr>
        <w:t>-phenyl-</w:t>
      </w:r>
      <w:r w:rsidRPr="004E58C0">
        <w:rPr>
          <w:rFonts w:ascii="Times New Roman" w:eastAsia="Times New Roman" w:hAnsi="Times New Roman" w:cs="Times New Roman"/>
          <w:i/>
          <w:iCs/>
          <w:sz w:val="24"/>
          <w:szCs w:val="24"/>
        </w:rPr>
        <w:t>N</w:t>
      </w:r>
      <w:r w:rsidRPr="004E58C0">
        <w:rPr>
          <w:rFonts w:ascii="Times New Roman" w:eastAsia="Times New Roman" w:hAnsi="Times New Roman" w:cs="Times New Roman"/>
          <w:sz w:val="24"/>
          <w:szCs w:val="24"/>
        </w:rPr>
        <w:t>′-(4′-methylthiazol-2′-yl)-</w:t>
      </w:r>
      <w:proofErr w:type="spellStart"/>
      <w:r w:rsidRPr="004E58C0">
        <w:rPr>
          <w:rFonts w:ascii="Times New Roman" w:eastAsia="Times New Roman" w:hAnsi="Times New Roman" w:cs="Times New Roman"/>
          <w:sz w:val="24"/>
          <w:szCs w:val="24"/>
        </w:rPr>
        <w:t>thiourea</w:t>
      </w:r>
      <w:proofErr w:type="spellEnd"/>
      <w:r w:rsidRPr="004E58C0">
        <w:rPr>
          <w:rFonts w:ascii="Times New Roman" w:eastAsia="Times New Roman" w:hAnsi="Times New Roman" w:cs="Times New Roman"/>
          <w:sz w:val="24"/>
          <w:szCs w:val="24"/>
        </w:rPr>
        <w:t xml:space="preserve"> by mass and infrared spectroscopy</w:t>
      </w:r>
    </w:p>
    <w:p w:rsidR="004E58C0" w:rsidRPr="004E58C0" w:rsidRDefault="004E58C0" w:rsidP="004E58C0">
      <w:pPr>
        <w:autoSpaceDE w:val="0"/>
        <w:autoSpaceDN w:val="0"/>
        <w:adjustRightInd w:val="0"/>
        <w:jc w:val="center"/>
        <w:rPr>
          <w:rFonts w:ascii="Times New Roman" w:eastAsia="MS Mincho" w:hAnsi="Times New Roman" w:cs="Times New Roman"/>
          <w:kern w:val="2"/>
          <w:sz w:val="20"/>
          <w:szCs w:val="20"/>
          <w:lang w:eastAsia="ja-JP"/>
        </w:rPr>
      </w:pPr>
      <w:proofErr w:type="spellStart"/>
      <w:r w:rsidRPr="004E58C0">
        <w:rPr>
          <w:rFonts w:ascii="Times New Roman" w:eastAsia="MS Mincho" w:hAnsi="Times New Roman" w:cs="Times New Roman"/>
          <w:kern w:val="2"/>
          <w:sz w:val="20"/>
          <w:szCs w:val="20"/>
          <w:lang w:eastAsia="ja-JP"/>
        </w:rPr>
        <w:t>Suhair</w:t>
      </w:r>
      <w:proofErr w:type="spellEnd"/>
      <w:r w:rsidRPr="004E58C0">
        <w:rPr>
          <w:rFonts w:ascii="Times New Roman" w:eastAsia="MS Mincho" w:hAnsi="Times New Roman" w:cs="Times New Roman"/>
          <w:kern w:val="2"/>
          <w:sz w:val="20"/>
          <w:szCs w:val="20"/>
          <w:lang w:eastAsia="ja-JP"/>
        </w:rPr>
        <w:t xml:space="preserve"> M. S. Jambi </w:t>
      </w:r>
      <w:r w:rsidRPr="004E58C0">
        <w:rPr>
          <w:rFonts w:ascii="Times New Roman" w:eastAsia="MS Mincho" w:hAnsi="Times New Roman" w:cs="Times New Roman"/>
          <w:kern w:val="2"/>
          <w:sz w:val="20"/>
          <w:szCs w:val="20"/>
          <w:vertAlign w:val="superscript"/>
          <w:lang w:eastAsia="ja-JP"/>
        </w:rPr>
        <w:footnoteRef/>
      </w:r>
      <w:r w:rsidRPr="004E58C0">
        <w:rPr>
          <w:rFonts w:ascii="Times New Roman" w:eastAsia="MS Mincho" w:hAnsi="Times New Roman" w:cs="Times New Roman"/>
          <w:kern w:val="2"/>
          <w:sz w:val="20"/>
          <w:szCs w:val="20"/>
          <w:lang w:eastAsia="ja-JP"/>
        </w:rPr>
        <w:t xml:space="preserve"> , Samir S. </w:t>
      </w:r>
      <w:proofErr w:type="spellStart"/>
      <w:r w:rsidRPr="004E58C0">
        <w:rPr>
          <w:rFonts w:ascii="Times New Roman" w:eastAsia="MS Mincho" w:hAnsi="Times New Roman" w:cs="Times New Roman"/>
          <w:kern w:val="2"/>
          <w:sz w:val="20"/>
          <w:szCs w:val="20"/>
          <w:lang w:eastAsia="ja-JP"/>
        </w:rPr>
        <w:t>Kandil</w:t>
      </w:r>
      <w:proofErr w:type="spellEnd"/>
      <w:r w:rsidRPr="004E58C0">
        <w:rPr>
          <w:rFonts w:ascii="Times New Roman" w:eastAsia="MS Mincho" w:hAnsi="Times New Roman" w:cs="Times New Roman"/>
          <w:kern w:val="2"/>
          <w:sz w:val="20"/>
          <w:szCs w:val="20"/>
          <w:lang w:eastAsia="ja-JP"/>
        </w:rPr>
        <w:t xml:space="preserve"> </w:t>
      </w:r>
      <w:r w:rsidRPr="004E58C0">
        <w:rPr>
          <w:rFonts w:ascii="Times New Roman" w:eastAsia="MS Mincho" w:hAnsi="Times New Roman" w:cs="Times New Roman"/>
          <w:kern w:val="2"/>
          <w:sz w:val="20"/>
          <w:szCs w:val="20"/>
          <w:vertAlign w:val="superscript"/>
          <w:lang w:eastAsia="ja-JP"/>
        </w:rPr>
        <w:t>2</w:t>
      </w:r>
    </w:p>
    <w:p w:rsidR="004E58C0" w:rsidRPr="004E58C0" w:rsidRDefault="004E58C0" w:rsidP="004E58C0">
      <w:pPr>
        <w:tabs>
          <w:tab w:val="center" w:pos="4252"/>
          <w:tab w:val="right" w:pos="8504"/>
        </w:tabs>
        <w:snapToGrid w:val="0"/>
        <w:jc w:val="center"/>
        <w:rPr>
          <w:rFonts w:ascii="Times New Roman" w:eastAsia="MS Mincho" w:hAnsi="Times New Roman" w:cs="Times New Roman"/>
          <w:kern w:val="2"/>
          <w:sz w:val="20"/>
          <w:szCs w:val="20"/>
          <w:lang w:eastAsia="ja-JP"/>
        </w:rPr>
      </w:pPr>
      <w:r w:rsidRPr="004E58C0">
        <w:rPr>
          <w:rFonts w:ascii="Times" w:eastAsia="MS Mincho" w:hAnsi="Times" w:cs="Times"/>
          <w:kern w:val="2"/>
          <w:sz w:val="20"/>
          <w:szCs w:val="20"/>
          <w:lang w:eastAsia="ja-JP"/>
        </w:rPr>
        <w:t xml:space="preserve">University of </w:t>
      </w:r>
      <w:proofErr w:type="spellStart"/>
      <w:r w:rsidRPr="004E58C0">
        <w:rPr>
          <w:rFonts w:ascii="Times" w:eastAsia="MS Mincho" w:hAnsi="Times" w:cs="Times"/>
          <w:kern w:val="2"/>
          <w:sz w:val="20"/>
          <w:szCs w:val="20"/>
          <w:lang w:eastAsia="ja-JP"/>
        </w:rPr>
        <w:t>Jeddad</w:t>
      </w:r>
      <w:proofErr w:type="spellEnd"/>
      <w:r w:rsidRPr="004E58C0">
        <w:rPr>
          <w:rFonts w:ascii="Times" w:eastAsia="MS Mincho" w:hAnsi="Times" w:cs="Times"/>
          <w:kern w:val="2"/>
          <w:sz w:val="20"/>
          <w:szCs w:val="20"/>
          <w:lang w:eastAsia="ja-JP"/>
        </w:rPr>
        <w:t xml:space="preserve">, </w:t>
      </w:r>
      <w:r w:rsidRPr="004E58C0">
        <w:rPr>
          <w:rFonts w:ascii="Times New Roman" w:eastAsia="MS Mincho" w:hAnsi="Times New Roman" w:cs="Times New Roman"/>
          <w:kern w:val="2"/>
          <w:sz w:val="20"/>
          <w:szCs w:val="20"/>
          <w:lang w:eastAsia="ja-JP"/>
        </w:rPr>
        <w:t>Chemistry Department,</w:t>
      </w:r>
      <w:r w:rsidRPr="004E58C0">
        <w:rPr>
          <w:rFonts w:ascii="Times" w:eastAsia="MS Mincho" w:hAnsi="Times" w:cs="Times"/>
          <w:kern w:val="2"/>
          <w:sz w:val="20"/>
          <w:szCs w:val="20"/>
          <w:lang w:eastAsia="ja-JP"/>
        </w:rPr>
        <w:t xml:space="preserve"> </w:t>
      </w:r>
      <w:r w:rsidRPr="004E58C0">
        <w:rPr>
          <w:rFonts w:ascii="Times New Roman" w:eastAsia="MS Mincho" w:hAnsi="Times New Roman" w:cs="Times New Roman"/>
          <w:kern w:val="2"/>
          <w:sz w:val="20"/>
          <w:szCs w:val="20"/>
          <w:lang w:eastAsia="ja-JP"/>
        </w:rPr>
        <w:t xml:space="preserve">Jeddah, Saudi </w:t>
      </w:r>
      <w:proofErr w:type="spellStart"/>
      <w:r w:rsidRPr="004E58C0">
        <w:rPr>
          <w:rFonts w:ascii="Times New Roman" w:eastAsia="MS Mincho" w:hAnsi="Times New Roman" w:cs="Times New Roman"/>
          <w:kern w:val="2"/>
          <w:sz w:val="20"/>
          <w:szCs w:val="20"/>
          <w:lang w:eastAsia="ja-JP"/>
        </w:rPr>
        <w:t>Arubia</w:t>
      </w:r>
      <w:proofErr w:type="spellEnd"/>
    </w:p>
    <w:p w:rsidR="004E58C0" w:rsidRPr="004E58C0" w:rsidRDefault="004E58C0" w:rsidP="004E58C0">
      <w:pPr>
        <w:tabs>
          <w:tab w:val="center" w:pos="4252"/>
          <w:tab w:val="right" w:pos="8504"/>
        </w:tabs>
        <w:snapToGrid w:val="0"/>
        <w:jc w:val="center"/>
        <w:rPr>
          <w:rFonts w:ascii="Times" w:eastAsia="MS Mincho" w:hAnsi="Times" w:cs="Times"/>
          <w:kern w:val="2"/>
          <w:sz w:val="20"/>
          <w:szCs w:val="20"/>
          <w:lang w:eastAsia="ja-JP"/>
        </w:rPr>
      </w:pPr>
      <w:r w:rsidRPr="004E58C0">
        <w:rPr>
          <w:rFonts w:ascii="Times" w:eastAsia="MS Mincho" w:hAnsi="Times" w:cs="Times"/>
          <w:kern w:val="2"/>
          <w:sz w:val="20"/>
          <w:szCs w:val="20"/>
          <w:vertAlign w:val="superscript"/>
          <w:lang w:eastAsia="ja-JP"/>
        </w:rPr>
        <w:t>2</w:t>
      </w:r>
      <w:r w:rsidRPr="004E58C0">
        <w:rPr>
          <w:rFonts w:ascii="Times" w:eastAsia="MS Mincho" w:hAnsi="Times" w:cs="Times"/>
          <w:kern w:val="2"/>
          <w:sz w:val="20"/>
          <w:szCs w:val="20"/>
          <w:lang w:eastAsia="ja-JP"/>
        </w:rPr>
        <w:t xml:space="preserve">University of </w:t>
      </w:r>
      <w:r w:rsidRPr="004E58C0">
        <w:rPr>
          <w:rFonts w:ascii="Times New Roman" w:eastAsia="MS Mincho" w:hAnsi="Times New Roman" w:cs="Times New Roman"/>
          <w:kern w:val="2"/>
          <w:sz w:val="20"/>
          <w:szCs w:val="20"/>
          <w:lang w:eastAsia="ja-JP"/>
        </w:rPr>
        <w:t>Tanta</w:t>
      </w:r>
      <w:r w:rsidRPr="004E58C0">
        <w:rPr>
          <w:rFonts w:ascii="Times" w:eastAsia="MS Mincho" w:hAnsi="Times" w:cs="Times"/>
          <w:kern w:val="2"/>
          <w:sz w:val="20"/>
          <w:szCs w:val="20"/>
          <w:lang w:eastAsia="ja-JP"/>
        </w:rPr>
        <w:t xml:space="preserve"> </w:t>
      </w:r>
      <w:r w:rsidRPr="004E58C0">
        <w:rPr>
          <w:rFonts w:ascii="Times New Roman" w:eastAsia="MS Mincho" w:hAnsi="Times New Roman" w:cs="Times New Roman"/>
          <w:kern w:val="2"/>
          <w:sz w:val="20"/>
          <w:szCs w:val="20"/>
          <w:lang w:eastAsia="ja-JP"/>
        </w:rPr>
        <w:t>Chemistry Department</w:t>
      </w:r>
      <w:r w:rsidRPr="004E58C0">
        <w:rPr>
          <w:rFonts w:ascii="Times" w:eastAsia="MS Mincho" w:hAnsi="Times" w:cs="Times"/>
          <w:kern w:val="2"/>
          <w:sz w:val="20"/>
          <w:szCs w:val="20"/>
          <w:lang w:eastAsia="ja-JP"/>
        </w:rPr>
        <w:t xml:space="preserve"> </w:t>
      </w:r>
      <w:r w:rsidRPr="004E58C0">
        <w:rPr>
          <w:rFonts w:ascii="Times New Roman" w:eastAsia="MS Mincho" w:hAnsi="Times New Roman" w:cs="Times New Roman"/>
          <w:kern w:val="2"/>
          <w:sz w:val="20"/>
          <w:szCs w:val="20"/>
          <w:lang w:eastAsia="ja-JP"/>
        </w:rPr>
        <w:t>Tanta, Egyp</w:t>
      </w:r>
      <w:r w:rsidRPr="004E58C0">
        <w:rPr>
          <w:rFonts w:ascii="Times" w:eastAsia="MS Mincho" w:hAnsi="Times" w:cs="Times"/>
          <w:kern w:val="2"/>
          <w:sz w:val="20"/>
          <w:szCs w:val="20"/>
          <w:lang w:eastAsia="ja-JP"/>
        </w:rPr>
        <w:t>t</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E58C0">
      <w:pPr>
        <w:pStyle w:val="3"/>
        <w:spacing w:before="147"/>
        <w:jc w:val="both"/>
      </w:pPr>
      <w:r>
        <w:rPr>
          <w:color w:val="BF5A14"/>
        </w:rPr>
        <w:lastRenderedPageBreak/>
        <w:t>Abstract</w:t>
      </w:r>
      <w:r w:rsidR="00404E5B">
        <w:rPr>
          <w:color w:val="BF5A14"/>
        </w:rPr>
        <w:t xml:space="preserve"> </w:t>
      </w:r>
    </w:p>
    <w:p w:rsidR="004E58C0" w:rsidRPr="004E58C0" w:rsidRDefault="004E58C0" w:rsidP="004E58C0">
      <w:pPr>
        <w:widowControl/>
        <w:bidi/>
        <w:spacing w:after="200" w:line="276" w:lineRule="auto"/>
        <w:rPr>
          <w:rFonts w:ascii="Times New Roman" w:eastAsia="Times New Roman" w:hAnsi="Times New Roman" w:cs="Times New Roman"/>
          <w:noProof/>
          <w:sz w:val="24"/>
          <w:szCs w:val="24"/>
        </w:rPr>
      </w:pPr>
      <w:r w:rsidRPr="004E58C0">
        <w:rPr>
          <w:rFonts w:ascii="Times New Roman" w:eastAsia="Times New Roman" w:hAnsi="Times New Roman" w:cs="Times New Roman"/>
          <w:noProof/>
          <w:sz w:val="24"/>
          <w:szCs w:val="24"/>
        </w:rPr>
        <w:t xml:space="preserve">  </w:t>
      </w:r>
    </w:p>
    <w:p w:rsidR="004E58C0" w:rsidRPr="004E58C0" w:rsidRDefault="004E58C0" w:rsidP="004E58C0">
      <w:pPr>
        <w:widowControl/>
        <w:spacing w:line="360" w:lineRule="auto"/>
        <w:ind w:firstLine="720"/>
        <w:jc w:val="both"/>
        <w:rPr>
          <w:rFonts w:eastAsia="Times New Roman" w:cs="Times New Roman"/>
          <w:sz w:val="18"/>
          <w:szCs w:val="18"/>
        </w:rPr>
      </w:pPr>
      <w:r w:rsidRPr="004E58C0">
        <w:rPr>
          <w:rFonts w:ascii="Times New Roman" w:eastAsia="Times New Roman" w:hAnsi="Times New Roman" w:cs="Times New Roman"/>
          <w:noProof/>
          <w:sz w:val="24"/>
          <w:szCs w:val="24"/>
        </w:rPr>
        <w:t xml:space="preserve">  </w:t>
      </w:r>
      <w:r w:rsidRPr="004E58C0">
        <w:rPr>
          <w:rFonts w:eastAsia="Times New Roman" w:cs="Times New Roman"/>
          <w:noProof/>
          <w:sz w:val="18"/>
          <w:szCs w:val="18"/>
        </w:rPr>
        <w:t xml:space="preserve">An efficient synthesis of </w:t>
      </w:r>
      <w:r w:rsidRPr="004E58C0">
        <w:rPr>
          <w:rFonts w:eastAsia="Times New Roman" w:cs="Times New Roman"/>
          <w:sz w:val="18"/>
          <w:szCs w:val="18"/>
        </w:rPr>
        <w:t xml:space="preserve">ligand </w:t>
      </w:r>
      <w:r w:rsidRPr="004E58C0">
        <w:rPr>
          <w:rFonts w:eastAsia="Times New Roman" w:cs="Times New Roman"/>
          <w:i/>
          <w:iCs/>
          <w:sz w:val="18"/>
          <w:szCs w:val="18"/>
        </w:rPr>
        <w:t>N</w:t>
      </w:r>
      <w:r w:rsidRPr="004E58C0">
        <w:rPr>
          <w:rFonts w:eastAsia="Times New Roman" w:cs="Times New Roman"/>
          <w:sz w:val="18"/>
          <w:szCs w:val="18"/>
        </w:rPr>
        <w:t>-phenyl-</w:t>
      </w:r>
      <w:r w:rsidRPr="004E58C0">
        <w:rPr>
          <w:rFonts w:eastAsia="Times New Roman" w:cs="Times New Roman"/>
          <w:i/>
          <w:iCs/>
          <w:sz w:val="18"/>
          <w:szCs w:val="18"/>
        </w:rPr>
        <w:t>N</w:t>
      </w:r>
      <w:r w:rsidRPr="004E58C0">
        <w:rPr>
          <w:rFonts w:ascii="Arial" w:eastAsia="Times New Roman" w:hAnsi="Arial" w:cs="Arial"/>
          <w:sz w:val="18"/>
          <w:szCs w:val="18"/>
        </w:rPr>
        <w:t>′</w:t>
      </w:r>
      <w:r w:rsidRPr="004E58C0">
        <w:rPr>
          <w:rFonts w:eastAsia="Times New Roman" w:cs="Times New Roman"/>
          <w:sz w:val="18"/>
          <w:szCs w:val="18"/>
        </w:rPr>
        <w:t>-(4</w:t>
      </w:r>
      <w:r w:rsidRPr="004E58C0">
        <w:rPr>
          <w:rFonts w:ascii="Arial" w:eastAsia="Times New Roman" w:hAnsi="Arial" w:cs="Arial"/>
          <w:sz w:val="18"/>
          <w:szCs w:val="18"/>
        </w:rPr>
        <w:t>′</w:t>
      </w:r>
      <w:r w:rsidRPr="004E58C0">
        <w:rPr>
          <w:rFonts w:eastAsia="Times New Roman" w:cs="Times New Roman"/>
          <w:sz w:val="18"/>
          <w:szCs w:val="18"/>
        </w:rPr>
        <w:t>-methylthiazol-2</w:t>
      </w:r>
      <w:r w:rsidRPr="004E58C0">
        <w:rPr>
          <w:rFonts w:ascii="Arial" w:eastAsia="Times New Roman" w:hAnsi="Arial" w:cs="Arial"/>
          <w:sz w:val="18"/>
          <w:szCs w:val="18"/>
        </w:rPr>
        <w:t>′</w:t>
      </w:r>
      <w:r w:rsidRPr="004E58C0">
        <w:rPr>
          <w:rFonts w:eastAsia="Times New Roman" w:cs="Times New Roman"/>
          <w:sz w:val="18"/>
          <w:szCs w:val="18"/>
        </w:rPr>
        <w:t>-yl)-</w:t>
      </w:r>
      <w:proofErr w:type="spellStart"/>
      <w:r w:rsidRPr="004E58C0">
        <w:rPr>
          <w:rFonts w:eastAsia="Times New Roman" w:cs="Times New Roman"/>
          <w:sz w:val="18"/>
          <w:szCs w:val="18"/>
        </w:rPr>
        <w:t>thiourea</w:t>
      </w:r>
      <w:proofErr w:type="spellEnd"/>
      <w:r w:rsidRPr="004E58C0">
        <w:rPr>
          <w:rFonts w:eastAsia="Times New Roman" w:cs="Times New Roman"/>
          <w:sz w:val="18"/>
          <w:szCs w:val="18"/>
        </w:rPr>
        <w:t xml:space="preserve"> via the reaction of 2-amino-4-methylthiazol and </w:t>
      </w:r>
      <w:proofErr w:type="spellStart"/>
      <w:r w:rsidRPr="004E58C0">
        <w:rPr>
          <w:rFonts w:eastAsia="Times New Roman" w:cs="Times New Roman"/>
          <w:sz w:val="18"/>
          <w:szCs w:val="18"/>
        </w:rPr>
        <w:t>Phenylisothiocyanate</w:t>
      </w:r>
      <w:proofErr w:type="spellEnd"/>
      <w:r w:rsidRPr="004E58C0">
        <w:rPr>
          <w:rFonts w:eastAsia="Times New Roman" w:cs="Times New Roman"/>
          <w:sz w:val="18"/>
          <w:szCs w:val="18"/>
        </w:rPr>
        <w:t xml:space="preserve"> under mild conditions has been developed. This reaction proceeded well at room temperature, to products in excellent yields for a wide range of substrate. The corresponding complexes of these ligand were synthesized by the reaction of the ligand with </w:t>
      </w:r>
      <w:proofErr w:type="spellStart"/>
      <w:r w:rsidRPr="004E58C0">
        <w:rPr>
          <w:rFonts w:eastAsia="Times New Roman" w:cs="Times New Roman"/>
          <w:sz w:val="18"/>
          <w:szCs w:val="18"/>
        </w:rPr>
        <w:t>Pd</w:t>
      </w:r>
      <w:proofErr w:type="spellEnd"/>
      <w:r w:rsidRPr="004E58C0">
        <w:rPr>
          <w:rFonts w:eastAsia="Times New Roman" w:cs="Times New Roman"/>
          <w:sz w:val="18"/>
          <w:szCs w:val="18"/>
        </w:rPr>
        <w:t xml:space="preserve">(II), </w:t>
      </w:r>
      <w:proofErr w:type="spellStart"/>
      <w:r w:rsidRPr="004E58C0">
        <w:rPr>
          <w:rFonts w:eastAsia="Times New Roman" w:cs="Times New Roman"/>
          <w:sz w:val="18"/>
          <w:szCs w:val="18"/>
        </w:rPr>
        <w:t>Pt</w:t>
      </w:r>
      <w:proofErr w:type="spellEnd"/>
      <w:r w:rsidRPr="004E58C0">
        <w:rPr>
          <w:rFonts w:eastAsia="Times New Roman" w:cs="Times New Roman"/>
          <w:sz w:val="18"/>
          <w:szCs w:val="18"/>
        </w:rPr>
        <w:t xml:space="preserve">(II) at molar ratio of 1:2. The structures of </w:t>
      </w:r>
      <w:proofErr w:type="spellStart"/>
      <w:r w:rsidRPr="004E58C0">
        <w:rPr>
          <w:rFonts w:eastAsia="Times New Roman" w:cs="Times New Roman"/>
          <w:sz w:val="18"/>
          <w:szCs w:val="18"/>
        </w:rPr>
        <w:t>compiexes</w:t>
      </w:r>
      <w:proofErr w:type="spellEnd"/>
      <w:r w:rsidRPr="004E58C0">
        <w:rPr>
          <w:rFonts w:eastAsia="Times New Roman" w:cs="Times New Roman"/>
          <w:sz w:val="18"/>
          <w:szCs w:val="18"/>
        </w:rPr>
        <w:t xml:space="preserve"> were identified by physic-chemical and spectroscopic </w:t>
      </w:r>
      <w:proofErr w:type="spellStart"/>
      <w:r w:rsidRPr="004E58C0">
        <w:rPr>
          <w:rFonts w:eastAsia="Times New Roman" w:cs="Times New Roman"/>
          <w:sz w:val="18"/>
          <w:szCs w:val="18"/>
        </w:rPr>
        <w:t>techniqes</w:t>
      </w:r>
      <w:proofErr w:type="spellEnd"/>
      <w:r w:rsidRPr="004E58C0">
        <w:rPr>
          <w:rFonts w:eastAsia="Times New Roman" w:cs="Times New Roman"/>
          <w:sz w:val="18"/>
          <w:szCs w:val="18"/>
        </w:rPr>
        <w:t xml:space="preserve"> (IR, Mass spectrometry). IR spectrum of the ligand displays two bands at 3340 cm</w:t>
      </w:r>
      <w:r w:rsidRPr="004E58C0">
        <w:rPr>
          <w:rFonts w:eastAsia="Times New Roman" w:cs="Times New Roman"/>
          <w:sz w:val="18"/>
          <w:szCs w:val="18"/>
          <w:vertAlign w:val="superscript"/>
        </w:rPr>
        <w:t>-1</w:t>
      </w:r>
      <w:r w:rsidRPr="004E58C0">
        <w:rPr>
          <w:rFonts w:eastAsia="Times New Roman" w:cs="Times New Roman"/>
          <w:sz w:val="18"/>
          <w:szCs w:val="18"/>
        </w:rPr>
        <w:t xml:space="preserve"> and 3165cm</w:t>
      </w:r>
      <w:r w:rsidRPr="004E58C0">
        <w:rPr>
          <w:rFonts w:eastAsia="Times New Roman" w:cs="Times New Roman"/>
          <w:sz w:val="18"/>
          <w:szCs w:val="18"/>
          <w:vertAlign w:val="superscript"/>
        </w:rPr>
        <w:t>-1</w:t>
      </w:r>
      <w:r w:rsidRPr="004E58C0">
        <w:rPr>
          <w:rFonts w:eastAsia="Times New Roman" w:cs="Times New Roman"/>
          <w:sz w:val="18"/>
          <w:szCs w:val="18"/>
        </w:rPr>
        <w:t xml:space="preserve">, attributable to </w:t>
      </w:r>
      <w:r w:rsidRPr="004E58C0">
        <w:rPr>
          <w:rFonts w:ascii="Arial" w:eastAsia="Times New Roman" w:hAnsi="Arial" w:cs="Arial"/>
          <w:i/>
          <w:iCs/>
          <w:sz w:val="18"/>
          <w:szCs w:val="18"/>
        </w:rPr>
        <w:t>υ</w:t>
      </w:r>
      <w:r w:rsidRPr="004E58C0">
        <w:rPr>
          <w:rFonts w:eastAsia="Times New Roman" w:cs="Times New Roman"/>
          <w:sz w:val="18"/>
          <w:szCs w:val="18"/>
        </w:rPr>
        <w:t xml:space="preserve">(N1–H), </w:t>
      </w:r>
      <w:r w:rsidRPr="004E58C0">
        <w:rPr>
          <w:rFonts w:ascii="Arial" w:eastAsia="Times New Roman" w:hAnsi="Arial" w:cs="Arial"/>
          <w:i/>
          <w:iCs/>
          <w:sz w:val="18"/>
          <w:szCs w:val="18"/>
        </w:rPr>
        <w:t>υ</w:t>
      </w:r>
      <w:r w:rsidRPr="004E58C0">
        <w:rPr>
          <w:rFonts w:eastAsia="Times New Roman" w:cs="Times New Roman"/>
          <w:sz w:val="18"/>
          <w:szCs w:val="18"/>
        </w:rPr>
        <w:t>(N2-H), respectively.  The IR spectra of the complexes showed stretching frequency for the N2H group and the disappearance of the band of N1H. The disappearance or absence of the strong band at 650cm</w:t>
      </w:r>
      <w:r w:rsidRPr="004E58C0">
        <w:rPr>
          <w:rFonts w:eastAsia="Times New Roman" w:cs="Times New Roman"/>
          <w:sz w:val="18"/>
          <w:szCs w:val="18"/>
          <w:vertAlign w:val="superscript"/>
        </w:rPr>
        <w:t>-1</w:t>
      </w:r>
      <w:r w:rsidRPr="004E58C0">
        <w:rPr>
          <w:rFonts w:eastAsia="Times New Roman" w:cs="Times New Roman"/>
          <w:sz w:val="18"/>
          <w:szCs w:val="18"/>
        </w:rPr>
        <w:t xml:space="preserve"> in the free </w:t>
      </w:r>
      <w:proofErr w:type="spellStart"/>
      <w:r w:rsidRPr="004E58C0">
        <w:rPr>
          <w:rFonts w:eastAsia="Times New Roman" w:cs="Times New Roman"/>
          <w:sz w:val="18"/>
          <w:szCs w:val="18"/>
        </w:rPr>
        <w:t>ligandis</w:t>
      </w:r>
      <w:proofErr w:type="spellEnd"/>
      <w:r w:rsidRPr="004E58C0">
        <w:rPr>
          <w:rFonts w:eastAsia="Times New Roman" w:cs="Times New Roman"/>
          <w:sz w:val="18"/>
          <w:szCs w:val="18"/>
        </w:rPr>
        <w:t xml:space="preserve"> a strong evidence for the coordination of the nitrogen atoms of the </w:t>
      </w:r>
      <w:proofErr w:type="spellStart"/>
      <w:r w:rsidRPr="004E58C0">
        <w:rPr>
          <w:rFonts w:eastAsia="Times New Roman" w:cs="Times New Roman"/>
          <w:sz w:val="18"/>
          <w:szCs w:val="18"/>
        </w:rPr>
        <w:t>thiazole</w:t>
      </w:r>
      <w:proofErr w:type="spellEnd"/>
      <w:r w:rsidRPr="004E58C0">
        <w:rPr>
          <w:rFonts w:eastAsia="Times New Roman" w:cs="Times New Roman"/>
          <w:sz w:val="18"/>
          <w:szCs w:val="18"/>
        </w:rPr>
        <w:t xml:space="preserve"> ring in the metal complexes. The mass spectrum of the PdL</w:t>
      </w:r>
      <w:r w:rsidRPr="004E58C0">
        <w:rPr>
          <w:rFonts w:eastAsia="Times New Roman" w:cs="Times New Roman"/>
          <w:sz w:val="18"/>
          <w:szCs w:val="18"/>
          <w:vertAlign w:val="subscript"/>
        </w:rPr>
        <w:t xml:space="preserve">2 </w:t>
      </w:r>
      <w:r w:rsidRPr="004E58C0">
        <w:rPr>
          <w:rFonts w:eastAsia="Times New Roman" w:cs="Times New Roman"/>
          <w:sz w:val="18"/>
          <w:szCs w:val="18"/>
        </w:rPr>
        <w:t xml:space="preserve">complex revealed the highest peak at </w:t>
      </w:r>
      <w:r w:rsidRPr="004E58C0">
        <w:rPr>
          <w:rFonts w:eastAsia="Times New Roman" w:cs="Times New Roman"/>
          <w:i/>
          <w:iCs/>
          <w:sz w:val="18"/>
          <w:szCs w:val="18"/>
        </w:rPr>
        <w:t>m</w:t>
      </w:r>
      <w:r w:rsidRPr="004E58C0">
        <w:rPr>
          <w:rFonts w:eastAsia="Times New Roman" w:cs="Times New Roman"/>
          <w:sz w:val="18"/>
          <w:szCs w:val="18"/>
        </w:rPr>
        <w:t>/</w:t>
      </w:r>
      <w:r w:rsidRPr="004E58C0">
        <w:rPr>
          <w:rFonts w:eastAsia="Times New Roman" w:cs="Times New Roman"/>
          <w:i/>
          <w:iCs/>
          <w:sz w:val="18"/>
          <w:szCs w:val="18"/>
        </w:rPr>
        <w:t>z</w:t>
      </w:r>
      <w:r w:rsidRPr="004E58C0">
        <w:rPr>
          <w:rFonts w:eastAsia="Times New Roman" w:cs="Times New Roman"/>
          <w:sz w:val="18"/>
          <w:szCs w:val="18"/>
        </w:rPr>
        <w:t xml:space="preserve"> = 602 corresponds to the molecular weight of the parent cationic species [M]</w:t>
      </w:r>
      <w:r w:rsidRPr="004E58C0">
        <w:rPr>
          <w:rFonts w:eastAsia="Times New Roman" w:cs="Times New Roman"/>
          <w:sz w:val="18"/>
          <w:szCs w:val="18"/>
          <w:vertAlign w:val="superscript"/>
        </w:rPr>
        <w:t>+</w:t>
      </w:r>
      <w:r w:rsidRPr="004E58C0">
        <w:rPr>
          <w:rFonts w:eastAsia="Times New Roman" w:cs="Times New Roman"/>
          <w:sz w:val="18"/>
          <w:szCs w:val="18"/>
        </w:rPr>
        <w:t>. This assign mentis based on the atomic weight of Pd-106 isotope. The mass spectrum of the [PtL</w:t>
      </w:r>
      <w:r w:rsidRPr="004E58C0">
        <w:rPr>
          <w:rFonts w:eastAsia="Times New Roman" w:cs="Times New Roman"/>
          <w:sz w:val="18"/>
          <w:szCs w:val="18"/>
          <w:vertAlign w:val="subscript"/>
        </w:rPr>
        <w:t>2</w:t>
      </w:r>
      <w:r w:rsidRPr="004E58C0">
        <w:rPr>
          <w:rFonts w:eastAsia="Times New Roman" w:cs="Times New Roman"/>
          <w:sz w:val="18"/>
          <w:szCs w:val="18"/>
        </w:rPr>
        <w:t>ClH</w:t>
      </w:r>
      <w:r w:rsidRPr="004E58C0">
        <w:rPr>
          <w:rFonts w:eastAsia="Times New Roman" w:cs="Times New Roman"/>
          <w:sz w:val="18"/>
          <w:szCs w:val="18"/>
          <w:vertAlign w:val="subscript"/>
        </w:rPr>
        <w:t>2</w:t>
      </w:r>
      <w:r w:rsidRPr="004E58C0">
        <w:rPr>
          <w:rFonts w:eastAsia="Times New Roman" w:cs="Times New Roman"/>
          <w:sz w:val="18"/>
          <w:szCs w:val="18"/>
        </w:rPr>
        <w:t>O]</w:t>
      </w:r>
      <w:r w:rsidRPr="004E58C0">
        <w:rPr>
          <w:rFonts w:eastAsia="Times New Roman" w:cs="Times New Roman"/>
          <w:b/>
          <w:bCs/>
          <w:sz w:val="18"/>
          <w:szCs w:val="18"/>
        </w:rPr>
        <w:t xml:space="preserve"> </w:t>
      </w:r>
      <w:r w:rsidRPr="004E58C0">
        <w:rPr>
          <w:rFonts w:eastAsia="Times New Roman" w:cs="Times New Roman"/>
          <w:sz w:val="18"/>
          <w:szCs w:val="18"/>
        </w:rPr>
        <w:t xml:space="preserve">complex revealed the highest two peak with low intensity at </w:t>
      </w:r>
      <w:r w:rsidRPr="004E58C0">
        <w:rPr>
          <w:rFonts w:eastAsia="Times New Roman" w:cs="Times New Roman"/>
          <w:i/>
          <w:iCs/>
          <w:sz w:val="18"/>
          <w:szCs w:val="18"/>
        </w:rPr>
        <w:t>m</w:t>
      </w:r>
      <w:r w:rsidRPr="004E58C0">
        <w:rPr>
          <w:rFonts w:eastAsia="Times New Roman" w:cs="Times New Roman"/>
          <w:sz w:val="18"/>
          <w:szCs w:val="18"/>
        </w:rPr>
        <w:t>/</w:t>
      </w:r>
      <w:r w:rsidRPr="004E58C0">
        <w:rPr>
          <w:rFonts w:eastAsia="Times New Roman" w:cs="Times New Roman"/>
          <w:i/>
          <w:iCs/>
          <w:sz w:val="18"/>
          <w:szCs w:val="18"/>
        </w:rPr>
        <w:t>z</w:t>
      </w:r>
      <w:r w:rsidRPr="004E58C0">
        <w:rPr>
          <w:rFonts w:eastAsia="Times New Roman" w:cs="Times New Roman"/>
          <w:sz w:val="18"/>
          <w:szCs w:val="18"/>
        </w:rPr>
        <w:t xml:space="preserve"> = 692 and 693, based on atomic weight of Pt-195 and Pt-196, respectively, among the isotope cluster peaks assigned to a molecular ion of the complex</w:t>
      </w:r>
      <w:r w:rsidRPr="004E58C0">
        <w:rPr>
          <w:rFonts w:eastAsia="Times New Roman" w:cs="Times New Roman"/>
          <w:b/>
          <w:bCs/>
          <w:sz w:val="18"/>
          <w:szCs w:val="18"/>
        </w:rPr>
        <w:t>.</w:t>
      </w:r>
      <w:r w:rsidRPr="004E58C0">
        <w:rPr>
          <w:rFonts w:eastAsia="Times New Roman" w:cs="Times New Roman"/>
          <w:sz w:val="18"/>
          <w:szCs w:val="18"/>
        </w:rPr>
        <w:t xml:space="preserve"> The mass spectrum of the [PtL</w:t>
      </w:r>
      <w:r w:rsidRPr="004E58C0">
        <w:rPr>
          <w:rFonts w:eastAsia="Times New Roman" w:cs="Times New Roman"/>
          <w:sz w:val="18"/>
          <w:szCs w:val="18"/>
          <w:vertAlign w:val="superscript"/>
        </w:rPr>
        <w:t>1</w:t>
      </w:r>
      <w:r w:rsidRPr="004E58C0">
        <w:rPr>
          <w:rFonts w:eastAsia="Times New Roman" w:cs="Times New Roman"/>
          <w:sz w:val="18"/>
          <w:szCs w:val="18"/>
          <w:vertAlign w:val="subscript"/>
        </w:rPr>
        <w:t>2</w:t>
      </w:r>
      <w:r w:rsidRPr="004E58C0">
        <w:rPr>
          <w:rFonts w:eastAsia="Times New Roman" w:cs="Times New Roman"/>
          <w:sz w:val="18"/>
          <w:szCs w:val="18"/>
        </w:rPr>
        <w:t>].4H</w:t>
      </w:r>
      <w:r w:rsidRPr="004E58C0">
        <w:rPr>
          <w:rFonts w:eastAsia="Times New Roman" w:cs="Times New Roman"/>
          <w:sz w:val="18"/>
          <w:szCs w:val="18"/>
          <w:vertAlign w:val="subscript"/>
        </w:rPr>
        <w:t>2</w:t>
      </w:r>
      <w:r w:rsidRPr="004E58C0">
        <w:rPr>
          <w:rFonts w:eastAsia="Times New Roman" w:cs="Times New Roman"/>
          <w:sz w:val="18"/>
          <w:szCs w:val="18"/>
        </w:rPr>
        <w:t xml:space="preserve">O complex revealed the highest peak at </w:t>
      </w:r>
      <w:r w:rsidRPr="004E58C0">
        <w:rPr>
          <w:rFonts w:eastAsia="Times New Roman" w:cs="Times New Roman"/>
          <w:i/>
          <w:iCs/>
          <w:sz w:val="18"/>
          <w:szCs w:val="18"/>
        </w:rPr>
        <w:t>m</w:t>
      </w:r>
      <w:r w:rsidRPr="004E58C0">
        <w:rPr>
          <w:rFonts w:eastAsia="Times New Roman" w:cs="Times New Roman"/>
          <w:sz w:val="18"/>
          <w:szCs w:val="18"/>
        </w:rPr>
        <w:t>/</w:t>
      </w:r>
      <w:r w:rsidRPr="004E58C0">
        <w:rPr>
          <w:rFonts w:eastAsia="Times New Roman" w:cs="Times New Roman"/>
          <w:i/>
          <w:iCs/>
          <w:sz w:val="18"/>
          <w:szCs w:val="18"/>
        </w:rPr>
        <w:t>z</w:t>
      </w:r>
      <w:r w:rsidRPr="004E58C0">
        <w:rPr>
          <w:rFonts w:eastAsia="Times New Roman" w:cs="Times New Roman"/>
          <w:sz w:val="18"/>
          <w:szCs w:val="18"/>
        </w:rPr>
        <w:t xml:space="preserve"> = 691 corresponds to the molecular weight of the parent cationic species [M]</w:t>
      </w:r>
      <w:r w:rsidRPr="004E58C0">
        <w:rPr>
          <w:rFonts w:eastAsia="Times New Roman" w:cs="Times New Roman"/>
          <w:sz w:val="18"/>
          <w:szCs w:val="18"/>
          <w:vertAlign w:val="superscript"/>
        </w:rPr>
        <w:t>+</w:t>
      </w:r>
      <w:r w:rsidRPr="004E58C0">
        <w:rPr>
          <w:rFonts w:eastAsia="Times New Roman" w:cs="Times New Roman"/>
          <w:sz w:val="18"/>
          <w:szCs w:val="18"/>
        </w:rPr>
        <w:t>. This assign mentis based on the atomic weight of Pt-165 isotope among the isotope cluster peaks assigned to a molecular ion of the complex. This corresponds to the molecular weight of the non-aqueous cationic complexPtL</w:t>
      </w:r>
      <w:r w:rsidRPr="004E58C0">
        <w:rPr>
          <w:rFonts w:eastAsia="Times New Roman" w:cs="Times New Roman"/>
          <w:sz w:val="18"/>
          <w:szCs w:val="18"/>
          <w:vertAlign w:val="subscript"/>
        </w:rPr>
        <w:t>2</w:t>
      </w:r>
      <w:r w:rsidRPr="004E58C0">
        <w:rPr>
          <w:rFonts w:ascii="Arial" w:eastAsia="Times New Roman" w:hAnsi="Arial" w:cs="Arial"/>
          <w:b/>
          <w:bCs/>
          <w:sz w:val="18"/>
          <w:szCs w:val="18"/>
          <w:vertAlign w:val="superscript"/>
        </w:rPr>
        <w:t>┐</w:t>
      </w:r>
      <w:r w:rsidRPr="004E58C0">
        <w:rPr>
          <w:rFonts w:eastAsia="Times New Roman" w:cs="Times New Roman"/>
          <w:b/>
          <w:bCs/>
          <w:sz w:val="18"/>
          <w:szCs w:val="18"/>
          <w:vertAlign w:val="superscript"/>
        </w:rPr>
        <w:t>+.</w:t>
      </w:r>
      <w:r w:rsidRPr="004E58C0">
        <w:rPr>
          <w:rFonts w:eastAsia="Times New Roman" w:cs="Times New Roman"/>
          <w:sz w:val="18"/>
          <w:szCs w:val="18"/>
        </w:rPr>
        <w:t>.</w:t>
      </w: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4E58C0" w:rsidRDefault="004E58C0">
      <w:pPr>
        <w:pStyle w:val="3"/>
        <w:spacing w:before="74"/>
        <w:rPr>
          <w:rFonts w:ascii="Tw Cen MT" w:hAnsi="Tw Cen MT"/>
          <w:b w:val="0"/>
          <w:sz w:val="18"/>
          <w:szCs w:val="18"/>
        </w:rPr>
      </w:pPr>
    </w:p>
    <w:p w:rsidR="00AE3E37" w:rsidRDefault="00A9710C">
      <w:pPr>
        <w:pStyle w:val="3"/>
        <w:spacing w:before="74"/>
        <w:rPr>
          <w:sz w:val="18"/>
          <w:szCs w:val="18"/>
        </w:rPr>
      </w:pPr>
      <w:r w:rsidRPr="004E58C0">
        <w:rPr>
          <w:rFonts w:ascii="Tw Cen MT" w:hAnsi="Tw Cen MT"/>
          <w:b w:val="0"/>
          <w:sz w:val="18"/>
          <w:szCs w:val="18"/>
        </w:rPr>
        <w:br w:type="column"/>
      </w:r>
      <w:r w:rsidRPr="004E58C0">
        <w:rPr>
          <w:color w:val="BF5A14"/>
          <w:sz w:val="18"/>
          <w:szCs w:val="18"/>
        </w:rPr>
        <w:lastRenderedPageBreak/>
        <w:t>Image</w:t>
      </w:r>
    </w:p>
    <w:p w:rsidR="00CF2AC2" w:rsidRDefault="00CF2AC2">
      <w:pPr>
        <w:pStyle w:val="3"/>
        <w:spacing w:before="74"/>
        <w:rPr>
          <w:sz w:val="18"/>
          <w:szCs w:val="18"/>
        </w:rPr>
      </w:pPr>
    </w:p>
    <w:p w:rsidR="00AE3E37" w:rsidRDefault="00966E84" w:rsidP="004E58C0">
      <w:pPr>
        <w:pStyle w:val="a3"/>
        <w:spacing w:before="2"/>
        <w:jc w:val="center"/>
        <w:rPr>
          <w:rFonts w:ascii="Arial"/>
          <w:b/>
          <w:sz w:val="16"/>
        </w:rPr>
      </w:pPr>
      <w:r>
        <w:object w:dxaOrig="10263" w:dyaOrig="14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2pt;height:345.6pt" o:ole="" o:bordertopcolor="this" o:borderleftcolor="this" o:borderbottomcolor="this" o:borderrightcolor="this">
            <v:imagedata r:id="rId10" o:title=""/>
            <w10:bordertop type="single" width="4"/>
            <w10:borderleft type="single" width="4"/>
            <w10:borderbottom type="single" width="4"/>
            <w10:borderright type="single" width="4"/>
          </v:shape>
          <o:OLEObject Type="Embed" ProgID="ChemDraw.Document.6.0" ShapeID="_x0000_i1025" DrawAspect="Content" ObjectID="_1637787804" r:id="rId11"/>
        </w:object>
      </w:r>
    </w:p>
    <w:p w:rsidR="00CF2AC2" w:rsidRDefault="00CF2AC2" w:rsidP="005973B9">
      <w:pPr>
        <w:spacing w:line="204" w:lineRule="exact"/>
        <w:rPr>
          <w:rFonts w:ascii="Arial"/>
          <w:b/>
          <w:color w:val="BF5A14"/>
          <w:sz w:val="20"/>
        </w:rPr>
      </w:pPr>
      <w:r>
        <w:rPr>
          <w:rFonts w:ascii="Arial"/>
          <w:b/>
          <w:color w:val="BF5A14"/>
          <w:sz w:val="20"/>
        </w:rPr>
        <w:t xml:space="preserve"> </w:t>
      </w:r>
    </w:p>
    <w:p w:rsidR="00CF2AC2" w:rsidRDefault="00CF2AC2" w:rsidP="00966E84">
      <w:pPr>
        <w:spacing w:line="204" w:lineRule="exact"/>
        <w:jc w:val="center"/>
        <w:rPr>
          <w:b/>
          <w:color w:val="BF5A14"/>
          <w:sz w:val="18"/>
          <w:szCs w:val="18"/>
        </w:rPr>
      </w:pPr>
      <w:r w:rsidRPr="00CF2AC2">
        <w:rPr>
          <w:rFonts w:eastAsia="Arial" w:cs="Arial"/>
          <w:b/>
          <w:bCs/>
          <w:sz w:val="18"/>
          <w:szCs w:val="18"/>
        </w:rPr>
        <w:t>Scheme. Fragmentation pathways of [Pd</w:t>
      </w:r>
      <w:r w:rsidR="00966E84">
        <w:rPr>
          <w:rFonts w:eastAsia="Arial" w:cs="Arial"/>
          <w:b/>
          <w:bCs/>
          <w:sz w:val="18"/>
          <w:szCs w:val="18"/>
        </w:rPr>
        <w:t>L</w:t>
      </w:r>
      <w:r w:rsidR="00966E84" w:rsidRPr="00966E84">
        <w:rPr>
          <w:rFonts w:eastAsia="Arial" w:cs="Arial"/>
          <w:b/>
          <w:bCs/>
          <w:sz w:val="18"/>
          <w:szCs w:val="18"/>
          <w:vertAlign w:val="subscript"/>
        </w:rPr>
        <w:t>2</w:t>
      </w:r>
      <w:r w:rsidRPr="00CF2AC2">
        <w:rPr>
          <w:rFonts w:eastAsia="Arial" w:cs="Arial"/>
          <w:b/>
          <w:bCs/>
          <w:sz w:val="18"/>
          <w:szCs w:val="18"/>
        </w:rPr>
        <w:t xml:space="preserve">] </w:t>
      </w:r>
    </w:p>
    <w:p w:rsidR="00CF2AC2" w:rsidRPr="00CF2AC2" w:rsidRDefault="00CF2AC2" w:rsidP="00CF2AC2">
      <w:pPr>
        <w:spacing w:line="204" w:lineRule="exact"/>
        <w:jc w:val="center"/>
        <w:rPr>
          <w:b/>
          <w:color w:val="BF5A14"/>
          <w:sz w:val="18"/>
          <w:szCs w:val="18"/>
        </w:rPr>
      </w:pPr>
    </w:p>
    <w:p w:rsidR="005973B9" w:rsidRDefault="005973B9" w:rsidP="005973B9">
      <w:pPr>
        <w:spacing w:line="204" w:lineRule="exact"/>
        <w:rPr>
          <w:rFonts w:ascii="Arial"/>
          <w:b/>
          <w:sz w:val="20"/>
        </w:rPr>
      </w:pPr>
      <w:r>
        <w:rPr>
          <w:rFonts w:ascii="Arial"/>
          <w:b/>
          <w:color w:val="BF5A14"/>
          <w:sz w:val="20"/>
        </w:rPr>
        <w:t>Recent Publications (minimum 5)</w:t>
      </w:r>
    </w:p>
    <w:p w:rsidR="00D310E1" w:rsidRPr="00D310E1" w:rsidRDefault="00D310E1" w:rsidP="00D310E1">
      <w:pPr>
        <w:widowControl/>
        <w:bidi/>
        <w:spacing w:after="200" w:line="276" w:lineRule="auto"/>
        <w:jc w:val="right"/>
        <w:rPr>
          <w:rFonts w:eastAsia="Calibri" w:cs="Times New Roman"/>
          <w:sz w:val="18"/>
          <w:szCs w:val="18"/>
        </w:rPr>
      </w:pPr>
      <w:r w:rsidRPr="00D310E1">
        <w:rPr>
          <w:rFonts w:eastAsia="Calibri" w:cs="Times New Roman"/>
          <w:sz w:val="18"/>
          <w:szCs w:val="18"/>
        </w:rPr>
        <w:t>1</w:t>
      </w:r>
      <w:r w:rsidRPr="00D310E1">
        <w:rPr>
          <w:rFonts w:eastAsia="Calibri" w:cs="Times New Roman"/>
          <w:sz w:val="18"/>
          <w:szCs w:val="18"/>
        </w:rPr>
        <w:t xml:space="preserve">. </w:t>
      </w:r>
      <w:proofErr w:type="spellStart"/>
      <w:r w:rsidRPr="00D310E1">
        <w:rPr>
          <w:rFonts w:eastAsia="Calibri" w:cs="Times New Roman"/>
          <w:sz w:val="18"/>
          <w:szCs w:val="18"/>
        </w:rPr>
        <w:t>A.Shokrollahi</w:t>
      </w:r>
      <w:proofErr w:type="spellEnd"/>
      <w:r w:rsidRPr="00D310E1">
        <w:rPr>
          <w:rFonts w:eastAsia="Calibri" w:cs="Times New Roman"/>
          <w:sz w:val="18"/>
          <w:szCs w:val="18"/>
        </w:rPr>
        <w:t xml:space="preserve"> , </w:t>
      </w:r>
      <w:proofErr w:type="spellStart"/>
      <w:r w:rsidRPr="00D310E1">
        <w:rPr>
          <w:rFonts w:eastAsia="Calibri" w:cs="Times New Roman"/>
          <w:sz w:val="18"/>
          <w:szCs w:val="18"/>
        </w:rPr>
        <w:t>K.Ramdar</w:t>
      </w:r>
      <w:proofErr w:type="spellEnd"/>
      <w:r w:rsidRPr="00D310E1">
        <w:rPr>
          <w:rFonts w:eastAsia="Calibri" w:cs="Times New Roman"/>
          <w:sz w:val="18"/>
          <w:szCs w:val="18"/>
        </w:rPr>
        <w:t xml:space="preserve"> , Journal Of </w:t>
      </w:r>
      <w:proofErr w:type="spellStart"/>
      <w:r w:rsidRPr="00D310E1">
        <w:rPr>
          <w:rFonts w:eastAsia="Calibri" w:cs="Times New Roman"/>
          <w:sz w:val="18"/>
          <w:szCs w:val="18"/>
        </w:rPr>
        <w:t>Taibah</w:t>
      </w:r>
      <w:proofErr w:type="spellEnd"/>
      <w:r w:rsidRPr="00D310E1">
        <w:rPr>
          <w:rFonts w:eastAsia="Calibri" w:cs="Times New Roman"/>
          <w:sz w:val="18"/>
          <w:szCs w:val="18"/>
        </w:rPr>
        <w:t xml:space="preserve"> University For Science , 11 (2017) 782-787.</w:t>
      </w:r>
      <w:r w:rsidRPr="00D310E1">
        <w:rPr>
          <w:rFonts w:eastAsia="Calibri" w:cs="Times New Roman"/>
          <w:sz w:val="18"/>
          <w:szCs w:val="18"/>
          <w:rtl/>
        </w:rPr>
        <w:t xml:space="preserve"> </w:t>
      </w:r>
    </w:p>
    <w:p w:rsidR="00D310E1" w:rsidRPr="00D310E1" w:rsidRDefault="00D310E1" w:rsidP="00D310E1">
      <w:pPr>
        <w:widowControl/>
        <w:bidi/>
        <w:spacing w:after="200" w:line="276" w:lineRule="auto"/>
        <w:jc w:val="right"/>
        <w:rPr>
          <w:rFonts w:eastAsia="Calibri" w:cs="Times New Roman"/>
          <w:sz w:val="18"/>
          <w:szCs w:val="18"/>
        </w:rPr>
      </w:pPr>
      <w:r w:rsidRPr="00D310E1">
        <w:rPr>
          <w:rFonts w:eastAsia="Calibri" w:cs="Times New Roman"/>
          <w:sz w:val="18"/>
          <w:szCs w:val="18"/>
        </w:rPr>
        <w:t>2</w:t>
      </w:r>
      <w:r w:rsidRPr="00D310E1">
        <w:rPr>
          <w:rFonts w:eastAsia="Calibri" w:cs="Times New Roman"/>
          <w:sz w:val="18"/>
          <w:szCs w:val="18"/>
        </w:rPr>
        <w:t xml:space="preserve">. </w:t>
      </w:r>
      <w:proofErr w:type="spellStart"/>
      <w:r w:rsidRPr="00D310E1">
        <w:rPr>
          <w:rFonts w:eastAsia="Calibri" w:cs="Times New Roman"/>
          <w:sz w:val="18"/>
          <w:szCs w:val="18"/>
        </w:rPr>
        <w:t>F.Wang</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X.Tang</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X.Wang</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K.Huang</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H.Feng</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Z.Chen</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Y.Liu,H.Liang</w:t>
      </w:r>
      <w:proofErr w:type="spellEnd"/>
      <w:r w:rsidRPr="00D310E1">
        <w:rPr>
          <w:rFonts w:eastAsia="Calibri" w:cs="Times New Roman"/>
          <w:sz w:val="18"/>
          <w:szCs w:val="18"/>
        </w:rPr>
        <w:t>, European Journal of Medicinal Chemistry,155 (2018) 639-650.</w:t>
      </w:r>
    </w:p>
    <w:p w:rsidR="00D310E1" w:rsidRPr="00D310E1" w:rsidRDefault="00D310E1" w:rsidP="00D310E1">
      <w:pPr>
        <w:widowControl/>
        <w:bidi/>
        <w:spacing w:after="200" w:line="276" w:lineRule="auto"/>
        <w:jc w:val="right"/>
        <w:rPr>
          <w:rFonts w:eastAsia="Calibri" w:cs="Times New Roman"/>
          <w:sz w:val="18"/>
          <w:szCs w:val="18"/>
        </w:rPr>
      </w:pPr>
      <w:r w:rsidRPr="00D310E1">
        <w:rPr>
          <w:rFonts w:eastAsia="Calibri" w:cs="Times New Roman"/>
          <w:sz w:val="18"/>
          <w:szCs w:val="18"/>
        </w:rPr>
        <w:t>3</w:t>
      </w:r>
      <w:r w:rsidRPr="00D310E1">
        <w:rPr>
          <w:rFonts w:eastAsia="Calibri" w:cs="Times New Roman"/>
          <w:sz w:val="18"/>
          <w:szCs w:val="18"/>
        </w:rPr>
        <w:t xml:space="preserve">. </w:t>
      </w:r>
      <w:proofErr w:type="spellStart"/>
      <w:r w:rsidRPr="00D310E1">
        <w:rPr>
          <w:rFonts w:eastAsia="Calibri" w:cs="Times New Roman"/>
          <w:sz w:val="18"/>
          <w:szCs w:val="18"/>
        </w:rPr>
        <w:t>X.Ju</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K.Igarashi</w:t>
      </w:r>
      <w:proofErr w:type="spellEnd"/>
      <w:r w:rsidRPr="00D310E1">
        <w:rPr>
          <w:rFonts w:eastAsia="Calibri" w:cs="Times New Roman"/>
          <w:sz w:val="18"/>
          <w:szCs w:val="18"/>
        </w:rPr>
        <w:t xml:space="preserve">, S. Miyashita, </w:t>
      </w:r>
      <w:proofErr w:type="spellStart"/>
      <w:r w:rsidRPr="00D310E1">
        <w:rPr>
          <w:rFonts w:eastAsia="Calibri" w:cs="Times New Roman"/>
          <w:sz w:val="18"/>
          <w:szCs w:val="18"/>
        </w:rPr>
        <w:t>H.Mitsuhashi</w:t>
      </w:r>
      <w:proofErr w:type="spellEnd"/>
      <w:r w:rsidRPr="00D310E1">
        <w:rPr>
          <w:rFonts w:eastAsia="Calibri" w:cs="Times New Roman"/>
          <w:sz w:val="18"/>
          <w:szCs w:val="18"/>
        </w:rPr>
        <w:t xml:space="preserve">, K. Inagaki, </w:t>
      </w:r>
      <w:proofErr w:type="spellStart"/>
      <w:r w:rsidRPr="00D310E1">
        <w:rPr>
          <w:rFonts w:eastAsia="Calibri" w:cs="Times New Roman"/>
          <w:sz w:val="18"/>
          <w:szCs w:val="18"/>
        </w:rPr>
        <w:t>S.Fujii</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H.Sawada</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T.Kuwabara</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A.Minoda</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Bioresource</w:t>
      </w:r>
      <w:proofErr w:type="spellEnd"/>
      <w:r w:rsidRPr="00D310E1">
        <w:rPr>
          <w:rFonts w:eastAsia="Calibri" w:cs="Times New Roman"/>
          <w:sz w:val="18"/>
          <w:szCs w:val="18"/>
        </w:rPr>
        <w:t xml:space="preserve"> Technology,211 (2016) 759–764.</w:t>
      </w:r>
    </w:p>
    <w:p w:rsidR="00D310E1" w:rsidRPr="00D310E1" w:rsidRDefault="00D310E1" w:rsidP="00D310E1">
      <w:pPr>
        <w:widowControl/>
        <w:bidi/>
        <w:spacing w:after="200" w:line="276" w:lineRule="auto"/>
        <w:jc w:val="right"/>
        <w:rPr>
          <w:rFonts w:eastAsia="Calibri" w:cs="Times New Roman"/>
          <w:sz w:val="18"/>
          <w:szCs w:val="18"/>
        </w:rPr>
      </w:pPr>
      <w:r w:rsidRPr="00D310E1">
        <w:rPr>
          <w:rFonts w:eastAsia="Calibri" w:cs="Times New Roman"/>
          <w:sz w:val="18"/>
          <w:szCs w:val="18"/>
        </w:rPr>
        <w:t>4</w:t>
      </w:r>
      <w:r w:rsidRPr="00D310E1">
        <w:rPr>
          <w:rFonts w:eastAsia="Calibri" w:cs="Times New Roman"/>
          <w:sz w:val="18"/>
          <w:szCs w:val="18"/>
        </w:rPr>
        <w:t xml:space="preserve">. </w:t>
      </w:r>
      <w:proofErr w:type="spellStart"/>
      <w:r w:rsidRPr="00D310E1">
        <w:rPr>
          <w:rFonts w:eastAsia="Calibri" w:cs="Times New Roman"/>
          <w:sz w:val="18"/>
          <w:szCs w:val="18"/>
        </w:rPr>
        <w:t>Y.Zeng</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R.Cao</w:t>
      </w:r>
      <w:proofErr w:type="spellEnd"/>
      <w:r w:rsidRPr="00D310E1">
        <w:rPr>
          <w:rFonts w:eastAsia="Calibri" w:cs="Times New Roman"/>
          <w:sz w:val="18"/>
          <w:szCs w:val="18"/>
        </w:rPr>
        <w:t xml:space="preserve"> , </w:t>
      </w:r>
      <w:proofErr w:type="spellStart"/>
      <w:r w:rsidRPr="00D310E1">
        <w:rPr>
          <w:rFonts w:eastAsia="Calibri" w:cs="Times New Roman"/>
          <w:sz w:val="18"/>
          <w:szCs w:val="18"/>
        </w:rPr>
        <w:t>J.Yang</w:t>
      </w:r>
      <w:proofErr w:type="spellEnd"/>
      <w:r w:rsidRPr="00D310E1">
        <w:rPr>
          <w:rFonts w:eastAsia="Calibri" w:cs="Times New Roman"/>
          <w:sz w:val="18"/>
          <w:szCs w:val="18"/>
        </w:rPr>
        <w:t xml:space="preserve"> , </w:t>
      </w:r>
      <w:proofErr w:type="spellStart"/>
      <w:r w:rsidRPr="00D310E1">
        <w:rPr>
          <w:rFonts w:eastAsia="Calibri" w:cs="Times New Roman"/>
          <w:sz w:val="18"/>
          <w:szCs w:val="18"/>
        </w:rPr>
        <w:t>X.Li</w:t>
      </w:r>
      <w:proofErr w:type="spellEnd"/>
      <w:r w:rsidRPr="00D310E1">
        <w:rPr>
          <w:rFonts w:eastAsia="Calibri" w:cs="Times New Roman"/>
          <w:sz w:val="18"/>
          <w:szCs w:val="18"/>
        </w:rPr>
        <w:t xml:space="preserve"> , </w:t>
      </w:r>
      <w:proofErr w:type="spellStart"/>
      <w:r w:rsidRPr="00D310E1">
        <w:rPr>
          <w:rFonts w:eastAsia="Calibri" w:cs="Times New Roman"/>
          <w:sz w:val="18"/>
          <w:szCs w:val="18"/>
        </w:rPr>
        <w:t>S.Li</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W.Zhong</w:t>
      </w:r>
      <w:proofErr w:type="spellEnd"/>
      <w:r w:rsidRPr="00D310E1">
        <w:rPr>
          <w:rFonts w:eastAsia="Calibri" w:cs="Times New Roman"/>
          <w:sz w:val="18"/>
          <w:szCs w:val="18"/>
        </w:rPr>
        <w:t>, European Journal of Medicinal Chemistry,119 (2016) 83-95.</w:t>
      </w:r>
    </w:p>
    <w:p w:rsidR="00D310E1" w:rsidRPr="00D310E1" w:rsidRDefault="00D310E1" w:rsidP="00D310E1">
      <w:pPr>
        <w:widowControl/>
        <w:bidi/>
        <w:spacing w:after="200" w:line="276" w:lineRule="auto"/>
        <w:jc w:val="right"/>
        <w:rPr>
          <w:rFonts w:eastAsia="Calibri" w:cs="Times New Roman"/>
          <w:sz w:val="18"/>
          <w:szCs w:val="18"/>
        </w:rPr>
      </w:pPr>
      <w:r w:rsidRPr="00D310E1">
        <w:rPr>
          <w:rFonts w:eastAsia="Calibri" w:cs="Times New Roman"/>
          <w:sz w:val="18"/>
          <w:szCs w:val="18"/>
        </w:rPr>
        <w:t>5</w:t>
      </w:r>
      <w:r w:rsidRPr="00D310E1">
        <w:rPr>
          <w:rFonts w:eastAsia="Calibri" w:cs="Times New Roman"/>
          <w:sz w:val="18"/>
          <w:szCs w:val="18"/>
        </w:rPr>
        <w:t xml:space="preserve">. </w:t>
      </w:r>
      <w:proofErr w:type="spellStart"/>
      <w:r w:rsidRPr="00D310E1">
        <w:rPr>
          <w:rFonts w:eastAsia="Calibri" w:cs="Times New Roman"/>
          <w:sz w:val="18"/>
          <w:szCs w:val="18"/>
        </w:rPr>
        <w:t>Y.Shimizu</w:t>
      </w:r>
      <w:proofErr w:type="spellEnd"/>
      <w:r w:rsidRPr="00D310E1">
        <w:rPr>
          <w:rFonts w:eastAsia="Calibri" w:cs="Times New Roman"/>
          <w:sz w:val="18"/>
          <w:szCs w:val="18"/>
        </w:rPr>
        <w:t xml:space="preserve"> , </w:t>
      </w:r>
      <w:proofErr w:type="spellStart"/>
      <w:r w:rsidRPr="00D310E1">
        <w:rPr>
          <w:rFonts w:eastAsia="Calibri" w:cs="Times New Roman"/>
          <w:sz w:val="18"/>
          <w:szCs w:val="18"/>
        </w:rPr>
        <w:t>Y.Yoshikawa</w:t>
      </w:r>
      <w:proofErr w:type="spellEnd"/>
      <w:r w:rsidRPr="00D310E1">
        <w:rPr>
          <w:rFonts w:eastAsia="Calibri" w:cs="Times New Roman"/>
          <w:sz w:val="18"/>
          <w:szCs w:val="18"/>
        </w:rPr>
        <w:t xml:space="preserve"> , </w:t>
      </w:r>
      <w:proofErr w:type="spellStart"/>
      <w:r w:rsidRPr="00D310E1">
        <w:rPr>
          <w:rFonts w:eastAsia="Calibri" w:cs="Times New Roman"/>
          <w:sz w:val="18"/>
          <w:szCs w:val="18"/>
        </w:rPr>
        <w:t>T.Kenmotsu</w:t>
      </w:r>
      <w:proofErr w:type="spellEnd"/>
      <w:r w:rsidRPr="00D310E1">
        <w:rPr>
          <w:rFonts w:eastAsia="Calibri" w:cs="Times New Roman"/>
          <w:sz w:val="18"/>
          <w:szCs w:val="18"/>
        </w:rPr>
        <w:t xml:space="preserve"> , </w:t>
      </w:r>
      <w:proofErr w:type="spellStart"/>
      <w:r w:rsidRPr="00D310E1">
        <w:rPr>
          <w:rFonts w:eastAsia="Calibri" w:cs="Times New Roman"/>
          <w:sz w:val="18"/>
          <w:szCs w:val="18"/>
        </w:rPr>
        <w:t>S.Komeda</w:t>
      </w:r>
      <w:proofErr w:type="spellEnd"/>
      <w:r w:rsidRPr="00D310E1">
        <w:rPr>
          <w:rFonts w:eastAsia="Calibri" w:cs="Times New Roman"/>
          <w:sz w:val="18"/>
          <w:szCs w:val="18"/>
        </w:rPr>
        <w:t xml:space="preserve"> ,</w:t>
      </w:r>
      <w:proofErr w:type="spellStart"/>
      <w:r w:rsidRPr="00D310E1">
        <w:rPr>
          <w:rFonts w:eastAsia="Calibri" w:cs="Times New Roman"/>
          <w:sz w:val="18"/>
          <w:szCs w:val="18"/>
        </w:rPr>
        <w:t>K.Yoshikawa</w:t>
      </w:r>
      <w:proofErr w:type="spellEnd"/>
      <w:r w:rsidRPr="00D310E1">
        <w:rPr>
          <w:rFonts w:eastAsia="Calibri" w:cs="Times New Roman"/>
          <w:sz w:val="18"/>
          <w:szCs w:val="18"/>
        </w:rPr>
        <w:t xml:space="preserve"> , Chemical Physics Letters , 678 (2017) 123-129.</w:t>
      </w:r>
    </w:p>
    <w:p w:rsidR="00AE3E37" w:rsidRDefault="008756E6" w:rsidP="00D310E1">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D310E1" w:rsidRDefault="00D310E1">
      <w:pPr>
        <w:spacing w:before="41" w:line="154" w:lineRule="exact"/>
        <w:ind w:left="213" w:right="231"/>
        <w:jc w:val="both"/>
        <w:rPr>
          <w:sz w:val="18"/>
          <w:szCs w:val="18"/>
        </w:rPr>
      </w:pPr>
      <w:proofErr w:type="spellStart"/>
      <w:r w:rsidRPr="00D310E1">
        <w:rPr>
          <w:rFonts w:eastAsia="Calibri" w:cs="Times New Roman"/>
          <w:sz w:val="18"/>
          <w:szCs w:val="18"/>
        </w:rPr>
        <w:t>Suhair</w:t>
      </w:r>
      <w:proofErr w:type="spellEnd"/>
      <w:r w:rsidRPr="00D310E1">
        <w:rPr>
          <w:rFonts w:eastAsia="Calibri" w:cs="Times New Roman"/>
          <w:sz w:val="18"/>
          <w:szCs w:val="18"/>
        </w:rPr>
        <w:t xml:space="preserve"> Mansour Jambi, has completed her PhD at 2011 from King </w:t>
      </w:r>
      <w:proofErr w:type="spellStart"/>
      <w:r w:rsidRPr="00D310E1">
        <w:rPr>
          <w:rFonts w:eastAsia="Calibri" w:cs="Times New Roman"/>
          <w:sz w:val="18"/>
          <w:szCs w:val="18"/>
        </w:rPr>
        <w:t>Abdulaziz</w:t>
      </w:r>
      <w:proofErr w:type="spellEnd"/>
      <w:r w:rsidRPr="00D310E1">
        <w:rPr>
          <w:rFonts w:eastAsia="Calibri" w:cs="Times New Roman"/>
          <w:sz w:val="18"/>
          <w:szCs w:val="18"/>
        </w:rPr>
        <w:t xml:space="preserve"> university in Saudi Arabia in Jeddah. She is interested in modern technologies in the field of metallic complexes, the structure of metal complexes using modern methods, </w:t>
      </w:r>
      <w:proofErr w:type="spellStart"/>
      <w:r w:rsidRPr="00D310E1">
        <w:rPr>
          <w:rFonts w:eastAsia="Calibri" w:cs="Times New Roman"/>
          <w:sz w:val="18"/>
          <w:szCs w:val="18"/>
        </w:rPr>
        <w:t>thiourea</w:t>
      </w:r>
      <w:proofErr w:type="spellEnd"/>
      <w:r w:rsidRPr="00D310E1">
        <w:rPr>
          <w:rFonts w:eastAsia="Calibri" w:cs="Times New Roman"/>
          <w:sz w:val="18"/>
          <w:szCs w:val="18"/>
        </w:rPr>
        <w:t xml:space="preserve"> complexes and their use in the treatment of some microbes and some diseases such as cancer. She had published more than 13 papers in a reputed journal such as </w:t>
      </w:r>
      <w:proofErr w:type="spellStart"/>
      <w:r w:rsidRPr="00D310E1">
        <w:rPr>
          <w:rFonts w:eastAsia="Calibri" w:cs="Times New Roman"/>
          <w:sz w:val="18"/>
          <w:szCs w:val="18"/>
        </w:rPr>
        <w:t>Z.Kristallogr.NCS</w:t>
      </w:r>
      <w:proofErr w:type="spellEnd"/>
      <w:r w:rsidRPr="00D310E1">
        <w:rPr>
          <w:rFonts w:eastAsia="Calibri" w:cs="Times New Roman"/>
          <w:sz w:val="18"/>
          <w:szCs w:val="18"/>
        </w:rPr>
        <w:t>, journal of Molecular Liquids, journal of Molecular Structure, journal of Sulfur Chemistry. Now she is work at the university of Jeddah</w:t>
      </w:r>
      <w:r w:rsidRPr="00D310E1">
        <w:rPr>
          <w:rFonts w:eastAsia="Calibri" w:cs="Arial"/>
          <w:sz w:val="18"/>
          <w:szCs w:val="18"/>
        </w:rPr>
        <w:t>.</w:t>
      </w:r>
      <w:r w:rsidR="00A9710C" w:rsidRPr="00D310E1">
        <w:rPr>
          <w:sz w:val="18"/>
          <w:szCs w:val="18"/>
        </w:rPr>
        <w:t>.</w:t>
      </w:r>
    </w:p>
    <w:p w:rsidR="00AE3E37" w:rsidRDefault="00A9710C" w:rsidP="00D310E1">
      <w:pPr>
        <w:spacing w:before="62"/>
        <w:ind w:left="4217" w:right="4235"/>
        <w:jc w:val="center"/>
        <w:rPr>
          <w:rFonts w:ascii="Arial"/>
          <w:sz w:val="14"/>
        </w:rPr>
      </w:pPr>
      <w:r>
        <w:rPr>
          <w:rFonts w:ascii="Arial"/>
          <w:sz w:val="14"/>
        </w:rPr>
        <w:t xml:space="preserve">Email: </w:t>
      </w:r>
      <w:r w:rsidR="00D310E1">
        <w:rPr>
          <w:rFonts w:ascii="Arial"/>
          <w:sz w:val="14"/>
        </w:rPr>
        <w:t>smjambi@uj.edu.sa</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bookmarkStart w:id="0" w:name="_GoBack"/>
    </w:p>
    <w:bookmarkEnd w:id="0"/>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554" w:rsidRDefault="00284554">
      <w:r>
        <w:separator/>
      </w:r>
    </w:p>
  </w:endnote>
  <w:endnote w:type="continuationSeparator" w:id="0">
    <w:p w:rsidR="00284554" w:rsidRDefault="00284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554" w:rsidRDefault="00284554">
      <w:r>
        <w:separator/>
      </w:r>
    </w:p>
  </w:footnote>
  <w:footnote w:type="continuationSeparator" w:id="0">
    <w:p w:rsidR="00284554" w:rsidRDefault="002845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70F1"/>
    <w:rsid w:val="000E2911"/>
    <w:rsid w:val="001263DF"/>
    <w:rsid w:val="00253EAC"/>
    <w:rsid w:val="00284554"/>
    <w:rsid w:val="00292ED9"/>
    <w:rsid w:val="003D4D9E"/>
    <w:rsid w:val="003E1E3A"/>
    <w:rsid w:val="00404E5B"/>
    <w:rsid w:val="00414F7B"/>
    <w:rsid w:val="004355DC"/>
    <w:rsid w:val="004749B4"/>
    <w:rsid w:val="00494130"/>
    <w:rsid w:val="004E58C0"/>
    <w:rsid w:val="004F3523"/>
    <w:rsid w:val="005973B9"/>
    <w:rsid w:val="005B3A56"/>
    <w:rsid w:val="006060CE"/>
    <w:rsid w:val="0063497F"/>
    <w:rsid w:val="00873DF0"/>
    <w:rsid w:val="008756E6"/>
    <w:rsid w:val="00966E84"/>
    <w:rsid w:val="009B2D44"/>
    <w:rsid w:val="009C6E7F"/>
    <w:rsid w:val="00A07E82"/>
    <w:rsid w:val="00A15EFF"/>
    <w:rsid w:val="00A9710C"/>
    <w:rsid w:val="00AE3E37"/>
    <w:rsid w:val="00B21A57"/>
    <w:rsid w:val="00C33602"/>
    <w:rsid w:val="00C64C54"/>
    <w:rsid w:val="00CD6F55"/>
    <w:rsid w:val="00CF2AC2"/>
    <w:rsid w:val="00D310E1"/>
    <w:rsid w:val="00DE3104"/>
    <w:rsid w:val="00E64BB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524</Words>
  <Characters>2988</Characters>
  <Application>Microsoft Office Word</Application>
  <DocSecurity>0</DocSecurity>
  <Lines>24</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6</cp:revision>
  <dcterms:created xsi:type="dcterms:W3CDTF">2019-12-13T11:50:00Z</dcterms:created>
  <dcterms:modified xsi:type="dcterms:W3CDTF">2019-12-13T21:17:00Z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