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宋体" w:cs="Times New Roman"/>
          <w:b/>
          <w:bCs/>
          <w:sz w:val="36"/>
          <w:szCs w:val="36"/>
          <w:lang w:val="en-US" w:eastAsia="zh-CN"/>
        </w:rPr>
      </w:pPr>
      <w:bookmarkStart w:id="0" w:name="OLE_LINK1"/>
      <w:r>
        <w:rPr>
          <w:rFonts w:hint="default" w:ascii="Times New Roman" w:hAnsi="Times New Roman" w:eastAsia="宋体" w:cs="Times New Roman"/>
          <w:b/>
          <w:bCs/>
          <w:sz w:val="36"/>
          <w:szCs w:val="36"/>
          <w:lang w:val="en-US" w:eastAsia="zh-CN"/>
        </w:rPr>
        <w:t>Purification and characterization of Antioxidant Peptides</w:t>
      </w:r>
      <w:r>
        <w:rPr>
          <w:rFonts w:hint="eastAsia" w:ascii="Times New Roman" w:hAnsi="Times New Roman" w:eastAsia="宋体" w:cs="Times New Roman"/>
          <w:b/>
          <w:bCs/>
          <w:sz w:val="36"/>
          <w:szCs w:val="36"/>
          <w:lang w:val="en-US" w:eastAsia="zh-CN"/>
        </w:rPr>
        <w:t xml:space="preserve"> from </w:t>
      </w:r>
      <w:r>
        <w:rPr>
          <w:rFonts w:hint="default" w:ascii="Times New Roman" w:hAnsi="Times New Roman" w:eastAsia="宋体" w:cs="Times New Roman"/>
          <w:b/>
          <w:bCs/>
          <w:sz w:val="36"/>
          <w:szCs w:val="36"/>
          <w:lang w:val="en-US" w:eastAsia="zh-CN"/>
        </w:rPr>
        <w:t>Shrimp Enzymatic</w:t>
      </w:r>
      <w:r>
        <w:rPr>
          <w:rFonts w:hint="eastAsia" w:ascii="Times New Roman" w:hAnsi="Times New Roman" w:eastAsia="宋体" w:cs="Times New Roman"/>
          <w:b/>
          <w:bCs/>
          <w:sz w:val="36"/>
          <w:szCs w:val="36"/>
          <w:lang w:val="en-US" w:eastAsia="zh-CN"/>
        </w:rPr>
        <w:t xml:space="preserve"> H</w:t>
      </w:r>
      <w:r>
        <w:rPr>
          <w:rFonts w:hint="default" w:ascii="Times New Roman" w:hAnsi="Times New Roman" w:eastAsia="宋体" w:cs="Times New Roman"/>
          <w:b/>
          <w:bCs/>
          <w:sz w:val="36"/>
          <w:szCs w:val="36"/>
          <w:lang w:val="en-US" w:eastAsia="zh-CN"/>
        </w:rPr>
        <w:t>ydrolysis Products</w:t>
      </w:r>
    </w:p>
    <w:bookmarkEnd w:id="0"/>
    <w:p>
      <w:pPr>
        <w:keepNext w:val="0"/>
        <w:keepLines w:val="0"/>
        <w:pageBreakBefore w:val="0"/>
        <w:kinsoku/>
        <w:wordWrap/>
        <w:overflowPunct/>
        <w:topLinePunct w:val="0"/>
        <w:autoSpaceDE/>
        <w:autoSpaceDN/>
        <w:bidi w:val="0"/>
        <w:spacing w:line="360" w:lineRule="auto"/>
        <w:jc w:val="center"/>
        <w:rPr>
          <w:rFonts w:hint="default" w:ascii="Times New Roman" w:hAnsi="Times New Roman" w:eastAsia="宋体" w:cs="Times New Roman"/>
          <w:b/>
          <w:bCs/>
          <w:i/>
          <w:iCs/>
          <w:sz w:val="21"/>
          <w:szCs w:val="21"/>
          <w:lang w:val="en-US" w:eastAsia="zh-CN"/>
        </w:rPr>
      </w:pPr>
      <w:r>
        <w:rPr>
          <w:rFonts w:hint="eastAsia" w:ascii="Times New Roman" w:hAnsi="Times New Roman" w:eastAsia="宋体"/>
          <w:b/>
          <w:bCs w:val="0"/>
          <w:i/>
          <w:iCs/>
          <w:sz w:val="21"/>
          <w:szCs w:val="21"/>
          <w:highlight w:val="none"/>
        </w:rPr>
        <w:t>Xueqin Liu, Yanli Feng, Xiaohua Lai, Tian Deng,</w:t>
      </w:r>
      <w:r>
        <w:rPr>
          <w:rFonts w:ascii="Times New Roman" w:hAnsi="Times New Roman" w:eastAsia="宋体"/>
          <w:b/>
          <w:bCs w:val="0"/>
          <w:i/>
          <w:iCs/>
          <w:sz w:val="21"/>
          <w:szCs w:val="21"/>
          <w:highlight w:val="none"/>
        </w:rPr>
        <w:t xml:space="preserve"> </w:t>
      </w:r>
      <w:r>
        <w:rPr>
          <w:rFonts w:hint="eastAsia" w:ascii="Times New Roman" w:hAnsi="Times New Roman" w:eastAsia="宋体"/>
          <w:b/>
          <w:bCs w:val="0"/>
          <w:i/>
          <w:iCs/>
          <w:sz w:val="21"/>
          <w:szCs w:val="21"/>
          <w:highlight w:val="none"/>
        </w:rPr>
        <w:t xml:space="preserve">Xin Liu, </w:t>
      </w:r>
      <w:r>
        <w:rPr>
          <w:rFonts w:ascii="Times New Roman" w:hAnsi="Times New Roman" w:eastAsia="宋体"/>
          <w:b/>
          <w:bCs w:val="0"/>
          <w:i/>
          <w:iCs/>
          <w:sz w:val="21"/>
          <w:szCs w:val="21"/>
          <w:highlight w:val="none"/>
        </w:rPr>
        <w:t xml:space="preserve">Mingsheng Lyu, </w:t>
      </w:r>
      <w:r>
        <w:rPr>
          <w:rFonts w:hint="eastAsia" w:ascii="Times New Roman" w:hAnsi="Times New Roman" w:eastAsia="宋体"/>
          <w:b/>
          <w:bCs w:val="0"/>
          <w:i/>
          <w:iCs/>
          <w:sz w:val="21"/>
          <w:szCs w:val="21"/>
          <w:highlight w:val="none"/>
        </w:rPr>
        <w:t>Shujun Wang</w:t>
      </w:r>
    </w:p>
    <w:p>
      <w:pPr>
        <w:pStyle w:val="4"/>
        <w:spacing w:before="73" w:line="198" w:lineRule="exact"/>
        <w:ind w:left="100" w:right="5987"/>
        <w:rPr>
          <w:rFonts w:ascii="Arial"/>
        </w:rPr>
      </w:pPr>
      <w:r>
        <w:rPr>
          <w:rFonts w:hint="eastAsia" w:ascii="Arial" w:eastAsia="宋体"/>
          <w:lang w:val="en-US" w:eastAsia="zh-CN"/>
        </w:rPr>
        <w:t>Jiangsu ocean university, China</w:t>
      </w:r>
    </w:p>
    <w:p>
      <w:pPr>
        <w:pStyle w:val="4"/>
        <w:rPr>
          <w:rFonts w:ascii="Arial"/>
          <w:sz w:val="20"/>
        </w:rPr>
      </w:pPr>
    </w:p>
    <w:p>
      <w:pPr>
        <w:rPr>
          <w:rFonts w:ascii="Arial"/>
          <w:sz w:val="21"/>
        </w:rPr>
        <w:sectPr>
          <w:headerReference r:id="rId3" w:type="default"/>
          <w:footerReference r:id="rId4" w:type="default"/>
          <w:pgSz w:w="11910" w:h="16840"/>
          <w:pgMar w:top="1740" w:right="600" w:bottom="840" w:left="620" w:header="541" w:footer="642" w:gutter="0"/>
          <w:cols w:space="720" w:num="1"/>
        </w:sectPr>
      </w:pPr>
    </w:p>
    <w:p>
      <w:pPr>
        <w:pStyle w:val="3"/>
        <w:spacing w:before="147"/>
        <w:jc w:val="both"/>
      </w:pPr>
      <w:r>
        <w:rPr>
          <w:color w:val="BF5A14"/>
        </w:rPr>
        <w:t>Abstract</w:t>
      </w:r>
    </w:p>
    <w:p>
      <w:pPr>
        <w:rPr>
          <w:rFonts w:hint="eastAsia" w:eastAsia="宋体"/>
          <w:sz w:val="18"/>
          <w:szCs w:val="18"/>
          <w:lang w:val="en-US" w:eastAsia="zh-CN"/>
        </w:rPr>
      </w:pPr>
      <w:r>
        <w:rPr>
          <w:sz w:val="18"/>
          <w:szCs w:val="18"/>
        </w:rPr>
        <w:t xml:space="preserve">Marine biological antioxidant </w:t>
      </w:r>
      <w:r>
        <w:rPr>
          <w:rFonts w:hint="eastAsia"/>
          <w:sz w:val="18"/>
          <w:szCs w:val="18"/>
        </w:rPr>
        <w:t>peptides</w:t>
      </w:r>
      <w:r>
        <w:rPr>
          <w:sz w:val="18"/>
          <w:szCs w:val="18"/>
        </w:rPr>
        <w:t xml:space="preserve"> have become a </w:t>
      </w:r>
      <w:r>
        <w:rPr>
          <w:rFonts w:hint="eastAsia" w:eastAsia="宋体"/>
          <w:sz w:val="18"/>
          <w:szCs w:val="18"/>
          <w:lang w:eastAsia="zh-CN"/>
        </w:rPr>
        <w:t>hotpots</w:t>
      </w:r>
      <w:r>
        <w:rPr>
          <w:sz w:val="18"/>
          <w:szCs w:val="18"/>
        </w:rPr>
        <w:t xml:space="preserve"> in multidisciplinary research such as modern biomedicine. In this study, the lyophilized powder of shrimp paste was used as raw material, and the protease produced by the protease-producing strain isolated from the shrimp paste raw material was </w:t>
      </w:r>
      <w:r>
        <w:rPr>
          <w:rFonts w:hint="eastAsia"/>
          <w:sz w:val="18"/>
          <w:szCs w:val="18"/>
        </w:rPr>
        <w:t>hydrolyze</w:t>
      </w:r>
      <w:r>
        <w:rPr>
          <w:rFonts w:hint="eastAsia" w:eastAsia="宋体"/>
          <w:sz w:val="18"/>
          <w:szCs w:val="18"/>
          <w:lang w:val="en-US" w:eastAsia="zh-CN"/>
        </w:rPr>
        <w:t>.</w:t>
      </w:r>
      <w:r>
        <w:rPr>
          <w:sz w:val="18"/>
          <w:szCs w:val="18"/>
        </w:rPr>
        <w:t xml:space="preserve"> </w:t>
      </w:r>
      <w:r>
        <w:rPr>
          <w:rFonts w:hint="eastAsia"/>
          <w:sz w:val="18"/>
          <w:szCs w:val="18"/>
        </w:rPr>
        <w:t xml:space="preserve">A total of 10g Shrimp powder was dissolved in 50 mL distilled water and the pH of the solution was adjusted to 6.0 using 1M HCl. Then, ST-1protease was added at a ratio of enzyme to substrate. The mixture was incubated at 50 ℃ with shaking. After 6 h incubation, the mixture was heated at 100 ℃ for 15 min to inactivate the ST-1protease. Alcohol precipitation: The solution was cooled to 40 ℃ and rota-evaporated to remove water. Anhydrous </w:t>
      </w:r>
      <w:r>
        <w:rPr>
          <w:rFonts w:hint="eastAsia" w:eastAsia="宋体"/>
          <w:sz w:val="18"/>
          <w:szCs w:val="18"/>
          <w:lang w:eastAsia="zh-CN"/>
        </w:rPr>
        <w:t>ethanol</w:t>
      </w:r>
      <w:r>
        <w:rPr>
          <w:rFonts w:hint="eastAsia"/>
          <w:sz w:val="18"/>
          <w:szCs w:val="18"/>
        </w:rPr>
        <w:t xml:space="preserve"> was then added and the solution was settled for 12 h. The solution was centrifuged at 8000 rpm for 15 min and the supernatant was dried under vacuum to obtain </w:t>
      </w:r>
      <w:r>
        <w:rPr>
          <w:rFonts w:hint="eastAsia" w:eastAsia="宋体"/>
          <w:sz w:val="18"/>
          <w:szCs w:val="18"/>
          <w:lang w:val="en-US" w:eastAsia="zh-CN"/>
        </w:rPr>
        <w:t>shrimp paste peptides (</w:t>
      </w:r>
      <w:r>
        <w:rPr>
          <w:rFonts w:hint="eastAsia"/>
          <w:sz w:val="18"/>
          <w:szCs w:val="18"/>
        </w:rPr>
        <w:t>SPs</w:t>
      </w:r>
      <w:r>
        <w:rPr>
          <w:rFonts w:hint="eastAsia" w:eastAsia="宋体"/>
          <w:sz w:val="18"/>
          <w:szCs w:val="18"/>
          <w:lang w:val="en-US" w:eastAsia="zh-CN"/>
        </w:rPr>
        <w:t>)</w:t>
      </w:r>
      <w:r>
        <w:rPr>
          <w:sz w:val="18"/>
          <w:szCs w:val="18"/>
        </w:rPr>
        <w:t xml:space="preserve">, which was then </w:t>
      </w:r>
      <w:r>
        <w:rPr>
          <w:rFonts w:hint="eastAsia"/>
          <w:sz w:val="18"/>
          <w:szCs w:val="18"/>
        </w:rPr>
        <w:t>separated</w:t>
      </w:r>
      <w:r>
        <w:rPr>
          <w:sz w:val="18"/>
          <w:szCs w:val="18"/>
        </w:rPr>
        <w:t xml:space="preserve"> and purified by a gel column G-25. </w:t>
      </w:r>
      <w:r>
        <w:rPr>
          <w:rFonts w:hint="eastAsia"/>
          <w:sz w:val="18"/>
          <w:szCs w:val="18"/>
        </w:rPr>
        <w:t xml:space="preserve">The results of the antioxidant activity test showed that the component three exhibited high antioxidant activity; the component three was collected and separated by reverse high phase liquid phase (RP-HPLC) to obtain four components. The isolated antioxidant peptide exhibits high DPPH scavenging activity, relatively good </w:t>
      </w:r>
      <w:r>
        <w:rPr>
          <w:rFonts w:hint="eastAsia" w:eastAsia="宋体"/>
          <w:sz w:val="18"/>
          <w:szCs w:val="18"/>
          <w:lang w:eastAsia="zh-CN"/>
        </w:rPr>
        <w:t>hydroxide</w:t>
      </w:r>
      <w:r>
        <w:rPr>
          <w:rFonts w:hint="eastAsia"/>
          <w:sz w:val="18"/>
          <w:szCs w:val="18"/>
        </w:rPr>
        <w:t xml:space="preserve"> radical and superoxide anion scavenging activity.</w:t>
      </w:r>
      <w:r>
        <w:rPr>
          <w:rFonts w:hint="eastAsia" w:eastAsia="宋体"/>
          <w:sz w:val="18"/>
          <w:szCs w:val="18"/>
          <w:lang w:val="en-US" w:eastAsia="zh-CN"/>
        </w:rPr>
        <w:t xml:space="preserve"> Antioxidant peptides have broad prospects for development in medical, cosmetic, cosmetic and food applications.</w:t>
      </w:r>
    </w:p>
    <w:p>
      <w:pPr>
        <w:pStyle w:val="3"/>
        <w:spacing w:before="74"/>
      </w:pPr>
      <w:r>
        <w:rPr>
          <w:b w:val="0"/>
        </w:rPr>
        <w:br w:type="column"/>
      </w:r>
      <w:r>
        <w:rPr>
          <w:color w:val="BF5A14"/>
        </w:rPr>
        <w:t>Image</w:t>
      </w:r>
    </w:p>
    <w:p>
      <w:pPr>
        <w:pStyle w:val="4"/>
        <w:spacing w:before="2"/>
      </w:pPr>
      <w:r>
        <w:drawing>
          <wp:inline distT="0" distB="0" distL="114300" distR="114300">
            <wp:extent cx="3169285" cy="2144395"/>
            <wp:effectExtent l="0" t="0" r="12065" b="825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3169285" cy="2144395"/>
                    </a:xfrm>
                    <a:prstGeom prst="rect">
                      <a:avLst/>
                    </a:prstGeom>
                    <a:noFill/>
                    <a:ln>
                      <a:noFill/>
                    </a:ln>
                  </pic:spPr>
                </pic:pic>
              </a:graphicData>
            </a:graphic>
          </wp:inline>
        </w:drawing>
      </w:r>
    </w:p>
    <w:p>
      <w:pPr>
        <w:pStyle w:val="4"/>
        <w:spacing w:before="2"/>
        <w:ind w:firstLine="720" w:firstLineChars="40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F</w:t>
      </w:r>
      <w:r>
        <w:rPr>
          <w:rFonts w:hint="default" w:ascii="Times New Roman" w:hAnsi="Times New Roman" w:cs="Times New Roman"/>
          <w:sz w:val="18"/>
          <w:szCs w:val="18"/>
        </w:rPr>
        <w:t>ig 1</w:t>
      </w:r>
      <w:r>
        <w:rPr>
          <w:rFonts w:hint="eastAsia" w:ascii="Times New Roman" w:hAnsi="Times New Roman" w:eastAsia="宋体" w:cs="Times New Roman"/>
          <w:sz w:val="18"/>
          <w:szCs w:val="18"/>
          <w:lang w:val="en-US" w:eastAsia="zh-CN"/>
        </w:rPr>
        <w:t xml:space="preserve"> Preparation and characterization of antioxidant peptides in shrimp hydrolysates</w:t>
      </w:r>
    </w:p>
    <w:p>
      <w:pPr>
        <w:spacing w:line="204" w:lineRule="exact"/>
        <w:rPr>
          <w:rFonts w:ascii="Arial"/>
          <w:b/>
          <w:sz w:val="20"/>
        </w:rPr>
      </w:pPr>
      <w:r>
        <w:rPr>
          <w:rFonts w:ascii="Arial"/>
          <w:b/>
          <w:color w:val="BF5A14"/>
          <w:sz w:val="20"/>
        </w:rPr>
        <w:br w:type="textWrapping"/>
      </w:r>
      <w:r>
        <w:rPr>
          <w:rFonts w:ascii="Arial"/>
          <w:b/>
          <w:color w:val="BF5A14"/>
          <w:sz w:val="20"/>
        </w:rPr>
        <w:t>Recent Publications</w:t>
      </w:r>
    </w:p>
    <w:p>
      <w:pPr>
        <w:pStyle w:val="8"/>
        <w:numPr>
          <w:ilvl w:val="0"/>
          <w:numId w:val="1"/>
        </w:numPr>
        <w:tabs>
          <w:tab w:val="left" w:pos="384"/>
        </w:tabs>
        <w:spacing w:line="216" w:lineRule="exact"/>
        <w:ind w:right="138" w:hanging="283"/>
        <w:rPr>
          <w:sz w:val="18"/>
        </w:rPr>
      </w:pPr>
      <w:r>
        <w:rPr>
          <w:sz w:val="18"/>
        </w:rPr>
        <w:t>Jang, H.L., A.M. Liceaga, and K.Y. Yoon, Purification, characterisation and stability of an antioxidant peptide derived from sandfish ( Arctoscopus japonicus ) protein hydrolysates. Journal of Functional Foods, 2016. 20: p. 433-442.</w:t>
      </w:r>
    </w:p>
    <w:p>
      <w:pPr>
        <w:pStyle w:val="8"/>
        <w:numPr>
          <w:ilvl w:val="0"/>
          <w:numId w:val="1"/>
        </w:numPr>
        <w:tabs>
          <w:tab w:val="left" w:pos="384"/>
        </w:tabs>
        <w:spacing w:line="216" w:lineRule="exact"/>
        <w:ind w:right="138" w:hanging="283"/>
        <w:rPr>
          <w:sz w:val="18"/>
        </w:rPr>
      </w:pPr>
      <w:r>
        <w:rPr>
          <w:sz w:val="18"/>
        </w:rPr>
        <w:t>Xu, S., et al., Antioxidant Characteristics and Identification of Peptides from Sorghum Kafirin Hydrolysates. Journal of Food Science, 2019. 84(3).</w:t>
      </w:r>
    </w:p>
    <w:p>
      <w:pPr>
        <w:pStyle w:val="8"/>
        <w:numPr>
          <w:ilvl w:val="0"/>
          <w:numId w:val="1"/>
        </w:numPr>
        <w:tabs>
          <w:tab w:val="left" w:pos="384"/>
        </w:tabs>
        <w:spacing w:line="216" w:lineRule="exact"/>
        <w:ind w:right="138" w:hanging="283"/>
        <w:rPr>
          <w:sz w:val="18"/>
        </w:rPr>
      </w:pPr>
      <w:r>
        <w:rPr>
          <w:sz w:val="18"/>
        </w:rPr>
        <w:t>Zhao, W.H., et al., Preparation, identification, and activity evaluation of ten antioxidant peptides from protein hydrolysate of swim bladders of miiuy croaker ( Miichthys miiuy ). Journal of Functional Foods, 2018. 47: p. 503-511</w:t>
      </w:r>
    </w:p>
    <w:p>
      <w:pPr>
        <w:pStyle w:val="8"/>
        <w:numPr>
          <w:ilvl w:val="0"/>
          <w:numId w:val="1"/>
        </w:numPr>
        <w:tabs>
          <w:tab w:val="left" w:pos="384"/>
        </w:tabs>
        <w:spacing w:line="216" w:lineRule="exact"/>
        <w:ind w:right="138" w:hanging="283"/>
        <w:rPr>
          <w:sz w:val="18"/>
        </w:rPr>
      </w:pPr>
      <w:r>
        <w:rPr>
          <w:sz w:val="18"/>
        </w:rPr>
        <w:t>Zhang, B., et al., Identification of antioxidant peptides derived from egg-white protein and its protective effects on H</w:t>
      </w:r>
      <w:r>
        <w:rPr>
          <w:rFonts w:hint="eastAsia"/>
          <w:sz w:val="18"/>
          <w:lang w:val="en-US" w:eastAsia="zh-CN"/>
        </w:rPr>
        <w:t>2</w:t>
      </w:r>
      <w:r>
        <w:rPr>
          <w:sz w:val="18"/>
        </w:rPr>
        <w:t>O</w:t>
      </w:r>
      <w:r>
        <w:rPr>
          <w:rFonts w:hint="eastAsia"/>
          <w:sz w:val="18"/>
          <w:lang w:val="en-US" w:eastAsia="zh-CN"/>
        </w:rPr>
        <w:t>2</w:t>
      </w:r>
      <w:r>
        <w:rPr>
          <w:sz w:val="18"/>
        </w:rPr>
        <w:t>-induced cell damage. International Journal of Food Science &amp; Technology, 2019. 54(6): p. 2219-2227</w:t>
      </w:r>
    </w:p>
    <w:p>
      <w:pPr>
        <w:pStyle w:val="4"/>
        <w:spacing w:before="85" w:line="216" w:lineRule="exact"/>
        <w:ind w:left="383" w:right="138" w:hanging="284"/>
        <w:jc w:val="both"/>
        <w:rPr>
          <w:rFonts w:ascii="Calibri" w:hAnsi="Calibri"/>
        </w:rPr>
      </w:pPr>
      <w:r>
        <w:rPr>
          <w:rFonts w:ascii="Calibri" w:hAnsi="Calibri"/>
        </w:rPr>
        <w:t xml:space="preserve">5. </w:t>
      </w:r>
      <w:r>
        <w:rPr>
          <w:rFonts w:ascii="Calibri" w:hAnsi="Calibri" w:eastAsia="Calibri" w:cs="Calibri"/>
          <w:sz w:val="18"/>
          <w:szCs w:val="22"/>
          <w:lang w:val="en-US" w:eastAsia="en-US" w:bidi="ar-SA"/>
        </w:rPr>
        <w:t>Reda, F.M. and A.Z. Refaie, Purification and characterization of pedioxanthin (carotenoid pigment) produced by Pediococcus pentosaceus N33 strain isolated from pickles. Food Biotechnology, 2019. 33(3): p. 217-236.</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4"/>
        <w:rPr>
          <w:rFonts w:ascii="Calibri"/>
          <w:sz w:val="20"/>
        </w:rPr>
      </w:pPr>
    </w:p>
    <w:p>
      <w:pPr>
        <w:pStyle w:val="4"/>
        <w:spacing w:line="40" w:lineRule="exact"/>
        <w:ind w:left="2202"/>
        <w:rPr>
          <w:rFonts w:ascii="Calibri"/>
          <w:sz w:val="4"/>
        </w:rPr>
      </w:pPr>
      <w:r>
        <w:rPr>
          <w:rFonts w:ascii="Calibri"/>
          <w:sz w:val="4"/>
        </w:rPr>
        <mc:AlternateContent>
          <mc:Choice Requires="wpg">
            <w:drawing>
              <wp:inline distT="0" distB="0" distL="0" distR="0">
                <wp:extent cx="3975735" cy="25400"/>
                <wp:effectExtent l="0" t="0" r="0" b="0"/>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drawing>
          <wp:inline distT="0" distB="0" distL="0" distR="0">
            <wp:extent cx="628015" cy="622935"/>
            <wp:effectExtent l="0" t="0" r="635" b="571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(150 word limit)</w:t>
      </w:r>
    </w:p>
    <w:p>
      <w:pPr>
        <w:spacing w:before="41" w:line="154" w:lineRule="exact"/>
        <w:ind w:left="213" w:right="231"/>
        <w:jc w:val="both"/>
        <w:rPr>
          <w:rFonts w:ascii="Arial"/>
          <w:sz w:val="14"/>
        </w:rPr>
      </w:pPr>
      <w:r>
        <w:rPr>
          <w:rFonts w:hint="eastAsia" w:ascii="Arial"/>
          <w:sz w:val="14"/>
        </w:rPr>
        <w:t>Liu Xueqin, Jiangsu Ocean University, Lianyungang City, Jiangsu Province, is a graduate student in the Key Laboratory of Marine Bioresources and Environment of Jiangsu Province. Under the guidance of the instructor, research on the activity of marine food microbial and microbial metabolites has been devoted for several years.</w:t>
      </w:r>
    </w:p>
    <w:p>
      <w:pPr>
        <w:spacing w:before="62"/>
        <w:ind w:left="4217" w:right="4235"/>
        <w:jc w:val="center"/>
        <w:rPr>
          <w:rFonts w:ascii="Arial"/>
          <w:sz w:val="19"/>
        </w:rPr>
      </w:pPr>
      <w:r>
        <w:rPr>
          <w:rFonts w:ascii="Arial"/>
          <w:sz w:val="14"/>
        </w:rPr>
        <w:t>Email:</w:t>
      </w:r>
      <w:r>
        <w:rPr>
          <w:rFonts w:hint="eastAsia" w:ascii="Arial" w:eastAsia="宋体"/>
          <w:sz w:val="14"/>
          <w:lang w:val="en-US" w:eastAsia="zh-CN"/>
        </w:rPr>
        <w:t xml:space="preserve"> </w:t>
      </w:r>
      <w:r>
        <w:rPr>
          <w:rFonts w:ascii="Arial"/>
          <w:sz w:val="14"/>
        </w:rPr>
        <w:fldChar w:fldCharType="begin"/>
      </w:r>
      <w:r>
        <w:rPr>
          <w:rFonts w:ascii="Arial"/>
          <w:sz w:val="14"/>
        </w:rPr>
        <w:instrText xml:space="preserve"> HYPERLINK "mailto:mingshenglu@hotmail.com" </w:instrText>
      </w:r>
      <w:r>
        <w:rPr>
          <w:rFonts w:ascii="Arial"/>
          <w:sz w:val="14"/>
        </w:rPr>
        <w:fldChar w:fldCharType="separate"/>
      </w:r>
      <w:r>
        <w:rPr>
          <w:rFonts w:ascii="Arial"/>
          <w:sz w:val="14"/>
          <w:lang w:eastAsia="de-DE"/>
        </w:rPr>
        <w:t>mingshenglu@hotmail.com</w:t>
      </w:r>
      <w:r>
        <w:rPr>
          <w:rFonts w:ascii="Arial"/>
          <w:sz w:val="14"/>
          <w:lang w:eastAsia="de-DE"/>
        </w:rPr>
        <w:fldChar w:fldCharType="end"/>
      </w:r>
      <w: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0" t="0" r="0" b="0"/>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4"/>
        <w:rPr>
          <w:rFonts w:ascii="Arial"/>
          <w:sz w:val="20"/>
        </w:rPr>
      </w:pPr>
    </w:p>
    <w:p>
      <w:pPr>
        <w:pStyle w:val="4"/>
        <w:spacing w:before="7"/>
        <w:rPr>
          <w:rFonts w:ascii="Arial"/>
          <w:sz w:val="29"/>
        </w:rPr>
      </w:pPr>
      <w:bookmarkStart w:id="1" w:name="_GoBack"/>
      <w:bookmarkEnd w:id="1"/>
    </w:p>
    <w:p>
      <w:pPr>
        <w:spacing w:before="39"/>
        <w:ind w:left="100"/>
        <w:rPr>
          <w:rFonts w:ascii="Minion Pro"/>
          <w:sz w:val="24"/>
        </w:rPr>
        <w:sectPr>
          <w:type w:val="continuous"/>
          <w:pgSz w:w="11910" w:h="16840"/>
          <w:pgMar w:top="1740" w:right="600" w:bottom="840" w:left="620" w:header="720" w:footer="720" w:gutter="0"/>
          <w:cols w:space="720" w:num="1"/>
        </w:sectPr>
      </w:pPr>
      <w:r>
        <w:rPr>
          <w:rFonts w:ascii="Minion Pro"/>
          <w:b/>
          <w:sz w:val="20"/>
        </w:rPr>
        <w:t>Notes/Comment</w:t>
      </w:r>
    </w:p>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Calibri">
    <w:panose1 w:val="020F0502020204030204"/>
    <w:charset w:val="86"/>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Cambria Math">
    <w:panose1 w:val="02040503050406030204"/>
    <w:charset w:val="00"/>
    <w:family w:val="auto"/>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4"/>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4"/>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F80E30"/>
    <w:rsid w:val="10E457F1"/>
    <w:rsid w:val="13395A12"/>
    <w:rsid w:val="21083642"/>
    <w:rsid w:val="2E6C2A87"/>
    <w:rsid w:val="3C4B52FC"/>
    <w:rsid w:val="5D5943A2"/>
    <w:rsid w:val="5F767896"/>
    <w:rsid w:val="79F80E30"/>
    <w:rsid w:val="7E242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3"/>
    <w:basedOn w:val="1"/>
    <w:next w:val="1"/>
    <w:qFormat/>
    <w:uiPriority w:val="1"/>
    <w:pPr>
      <w:ind w:left="100"/>
      <w:outlineLvl w:val="2"/>
    </w:pPr>
    <w:rPr>
      <w:rFonts w:ascii="Arial" w:hAnsi="Arial" w:eastAsia="Arial" w:cs="Arial"/>
      <w:b/>
      <w:bCs/>
      <w:sz w:val="20"/>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Body Text"/>
    <w:basedOn w:val="1"/>
    <w:qFormat/>
    <w:uiPriority w:val="1"/>
    <w:rPr>
      <w:sz w:val="18"/>
      <w:szCs w:val="18"/>
    </w:rPr>
  </w:style>
  <w:style w:type="character" w:styleId="7">
    <w:name w:val="Hyperlink"/>
    <w:basedOn w:val="6"/>
    <w:unhideWhenUsed/>
    <w:uiPriority w:val="99"/>
    <w:rPr>
      <w:color w:val="0563C1" w:themeColor="hyperlink"/>
      <w:u w:val="single"/>
      <w14:textFill>
        <w14:solidFill>
          <w14:schemeClr w14:val="hlink"/>
        </w14:solidFill>
      </w14:textFill>
    </w:rPr>
  </w:style>
  <w:style w:type="paragraph" w:styleId="8">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9">
    <w:name w:val="MDPI_1.6_affiliation"/>
    <w:basedOn w:val="1"/>
    <w:qFormat/>
    <w:uiPriority w:val="0"/>
    <w:pPr>
      <w:widowControl/>
      <w:adjustRightInd w:val="0"/>
      <w:snapToGrid w:val="0"/>
      <w:spacing w:line="200" w:lineRule="atLeast"/>
      <w:ind w:left="311" w:hanging="198"/>
      <w:jc w:val="left"/>
    </w:pPr>
    <w:rPr>
      <w:rFonts w:ascii="Palatino Linotype" w:hAnsi="Palatino Linotype" w:eastAsia="Times New Roman"/>
      <w:color w:val="000000"/>
      <w:kern w:val="0"/>
      <w:sz w:val="18"/>
      <w:szCs w:val="18"/>
      <w:lang w:eastAsia="de-DE" w:bidi="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2019-11-05T02:58:00Z</dcterms:created>
  <dc:creator>红楼梦</dc:creator>
  <cp:lastModifiedBy>红楼梦</cp:lastModifiedBy>
  <dcterms:modified xsi:type="dcterms:W3CDTF">2019-11-06T07:51:34Z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