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277081" w14:textId="2CFE766E" w:rsidR="00AE3E37" w:rsidRDefault="00B57567" w:rsidP="00494130">
      <w:pPr>
        <w:pStyle w:val="Ttulo1"/>
        <w:spacing w:before="170"/>
        <w:ind w:left="0"/>
      </w:pPr>
      <w:r>
        <w:rPr>
          <w:color w:val="337AB7"/>
        </w:rPr>
        <w:t>Quantification of bisphenol</w:t>
      </w:r>
      <w:r w:rsidR="006F41F5">
        <w:rPr>
          <w:color w:val="337AB7"/>
        </w:rPr>
        <w:t xml:space="preserve"> related compounds</w:t>
      </w:r>
      <w:r>
        <w:rPr>
          <w:color w:val="337AB7"/>
        </w:rPr>
        <w:t xml:space="preserve"> in canned food by HPLC-FLD</w:t>
      </w:r>
    </w:p>
    <w:p w14:paraId="099756EB" w14:textId="12B86CE6" w:rsidR="00636F82" w:rsidRPr="005532B9" w:rsidRDefault="00636F82" w:rsidP="00636F82">
      <w:pPr>
        <w:pStyle w:val="Textoindependiente"/>
        <w:spacing w:before="73" w:line="198" w:lineRule="exact"/>
        <w:ind w:left="100" w:right="5987"/>
        <w:rPr>
          <w:rFonts w:ascii="Arial" w:hAnsi="Arial" w:cs="Arial"/>
        </w:rPr>
      </w:pPr>
      <w:r w:rsidRPr="005532B9">
        <w:rPr>
          <w:rFonts w:ascii="Arial" w:hAnsi="Arial" w:cs="Arial"/>
        </w:rPr>
        <w:t xml:space="preserve">Antía </w:t>
      </w:r>
      <w:proofErr w:type="spellStart"/>
      <w:r w:rsidRPr="005532B9">
        <w:rPr>
          <w:rFonts w:ascii="Arial" w:hAnsi="Arial" w:cs="Arial"/>
        </w:rPr>
        <w:t>Lestido</w:t>
      </w:r>
      <w:proofErr w:type="spellEnd"/>
      <w:r w:rsidRPr="005532B9">
        <w:rPr>
          <w:rFonts w:ascii="Arial" w:hAnsi="Arial" w:cs="Arial"/>
        </w:rPr>
        <w:t xml:space="preserve"> </w:t>
      </w:r>
      <w:proofErr w:type="spellStart"/>
      <w:r w:rsidRPr="005532B9">
        <w:rPr>
          <w:rFonts w:ascii="Arial" w:hAnsi="Arial" w:cs="Arial"/>
        </w:rPr>
        <w:t>Cardama</w:t>
      </w:r>
      <w:proofErr w:type="spellEnd"/>
      <w:r w:rsidRPr="005532B9">
        <w:rPr>
          <w:rFonts w:ascii="Arial" w:hAnsi="Arial" w:cs="Arial"/>
        </w:rPr>
        <w:t>*,</w:t>
      </w:r>
      <w:r w:rsidR="005E4D22" w:rsidRPr="005532B9">
        <w:rPr>
          <w:rFonts w:ascii="Arial" w:hAnsi="Arial" w:cs="Arial"/>
        </w:rPr>
        <w:t xml:space="preserve"> Ana Rodríguez </w:t>
      </w:r>
      <w:proofErr w:type="spellStart"/>
      <w:r w:rsidR="005E4D22" w:rsidRPr="005532B9">
        <w:rPr>
          <w:rFonts w:ascii="Arial" w:hAnsi="Arial" w:cs="Arial"/>
        </w:rPr>
        <w:t>Bernaldo</w:t>
      </w:r>
      <w:proofErr w:type="spellEnd"/>
      <w:r w:rsidR="005E4D22" w:rsidRPr="005532B9">
        <w:rPr>
          <w:rFonts w:ascii="Arial" w:hAnsi="Arial" w:cs="Arial"/>
        </w:rPr>
        <w:t xml:space="preserve"> de </w:t>
      </w:r>
      <w:proofErr w:type="spellStart"/>
      <w:r w:rsidR="005E4D22" w:rsidRPr="005532B9">
        <w:rPr>
          <w:rFonts w:ascii="Arial" w:hAnsi="Arial" w:cs="Arial"/>
        </w:rPr>
        <w:t>Quirós</w:t>
      </w:r>
      <w:proofErr w:type="spellEnd"/>
      <w:r w:rsidR="005E4D22" w:rsidRPr="005532B9">
        <w:rPr>
          <w:rFonts w:ascii="Arial" w:hAnsi="Arial" w:cs="Arial"/>
        </w:rPr>
        <w:t>*</w:t>
      </w:r>
      <w:r w:rsidRPr="005532B9">
        <w:rPr>
          <w:rFonts w:ascii="Arial" w:hAnsi="Arial" w:cs="Arial"/>
        </w:rPr>
        <w:t xml:space="preserve">, Juana Bustos**, </w:t>
      </w:r>
      <w:r w:rsidR="00DA392A">
        <w:rPr>
          <w:rFonts w:ascii="Arial" w:hAnsi="Arial" w:cs="Arial"/>
        </w:rPr>
        <w:t xml:space="preserve">Mª Isabel </w:t>
      </w:r>
      <w:proofErr w:type="spellStart"/>
      <w:r w:rsidR="00DA392A" w:rsidRPr="00DA392A">
        <w:rPr>
          <w:rFonts w:ascii="Arial" w:hAnsi="Arial" w:cs="Arial"/>
        </w:rPr>
        <w:t>Santillana</w:t>
      </w:r>
      <w:proofErr w:type="spellEnd"/>
      <w:r w:rsidR="005532B9" w:rsidRPr="00DA392A">
        <w:rPr>
          <w:rFonts w:ascii="Arial" w:hAnsi="Arial" w:cs="Arial"/>
        </w:rPr>
        <w:t>**,</w:t>
      </w:r>
      <w:r w:rsidR="005E4D22" w:rsidRPr="005532B9">
        <w:rPr>
          <w:rFonts w:ascii="Arial" w:hAnsi="Arial" w:cs="Arial"/>
        </w:rPr>
        <w:t xml:space="preserve"> Perfecto </w:t>
      </w:r>
      <w:proofErr w:type="spellStart"/>
      <w:r w:rsidR="005E4D22" w:rsidRPr="005532B9">
        <w:rPr>
          <w:rFonts w:ascii="Arial" w:hAnsi="Arial" w:cs="Arial"/>
        </w:rPr>
        <w:t>Paseiro</w:t>
      </w:r>
      <w:proofErr w:type="spellEnd"/>
      <w:r w:rsidR="005E4D22" w:rsidRPr="005532B9">
        <w:rPr>
          <w:rFonts w:ascii="Arial" w:hAnsi="Arial" w:cs="Arial"/>
        </w:rPr>
        <w:t xml:space="preserve"> </w:t>
      </w:r>
      <w:proofErr w:type="spellStart"/>
      <w:r w:rsidR="005E4D22" w:rsidRPr="005532B9">
        <w:rPr>
          <w:rFonts w:ascii="Arial" w:hAnsi="Arial" w:cs="Arial"/>
        </w:rPr>
        <w:t>Losada</w:t>
      </w:r>
      <w:proofErr w:type="spellEnd"/>
      <w:r w:rsidR="005E4D22" w:rsidRPr="005532B9">
        <w:rPr>
          <w:rFonts w:ascii="Arial" w:hAnsi="Arial" w:cs="Arial"/>
        </w:rPr>
        <w:t xml:space="preserve">*, Raquel </w:t>
      </w:r>
      <w:proofErr w:type="spellStart"/>
      <w:r w:rsidR="005E4D22" w:rsidRPr="005532B9">
        <w:rPr>
          <w:rFonts w:ascii="Arial" w:hAnsi="Arial" w:cs="Arial"/>
        </w:rPr>
        <w:t>Sendón</w:t>
      </w:r>
      <w:proofErr w:type="spellEnd"/>
      <w:r w:rsidR="005E4D22" w:rsidRPr="005532B9">
        <w:rPr>
          <w:rFonts w:ascii="Arial" w:hAnsi="Arial" w:cs="Arial"/>
        </w:rPr>
        <w:t>*</w:t>
      </w:r>
    </w:p>
    <w:p w14:paraId="0DEE3A02" w14:textId="77777777" w:rsidR="00636F82" w:rsidRPr="00A31220" w:rsidRDefault="00636F82" w:rsidP="00636F82">
      <w:pPr>
        <w:pStyle w:val="Textoindependiente"/>
        <w:spacing w:before="73" w:line="198" w:lineRule="exact"/>
        <w:ind w:left="100" w:right="5987"/>
        <w:rPr>
          <w:rFonts w:ascii="Arial" w:hAnsi="Arial" w:cs="Arial"/>
        </w:rPr>
      </w:pPr>
      <w:r w:rsidRPr="00A31220">
        <w:rPr>
          <w:rFonts w:ascii="Arial" w:hAnsi="Arial" w:cs="Arial"/>
        </w:rPr>
        <w:t>*Department of Analytical Chemistry, Nutrition and Food Science, Faculty of Pharmacy, University of Santiago de Compostela, Spain</w:t>
      </w:r>
    </w:p>
    <w:p w14:paraId="073420E4" w14:textId="41109623" w:rsidR="00636F82" w:rsidRPr="00A31220" w:rsidRDefault="00636F82" w:rsidP="00636F82">
      <w:pPr>
        <w:pStyle w:val="Textoindependiente"/>
        <w:spacing w:before="73" w:line="198" w:lineRule="exact"/>
        <w:ind w:left="100" w:right="5987"/>
        <w:rPr>
          <w:rFonts w:ascii="Arial" w:hAnsi="Arial" w:cs="Arial"/>
        </w:rPr>
      </w:pPr>
      <w:r w:rsidRPr="00A31220">
        <w:rPr>
          <w:rFonts w:ascii="Arial" w:hAnsi="Arial" w:cs="Arial"/>
        </w:rPr>
        <w:t>**National Food Center, Spanish Agency for Food Safety and Nutrition, Spain</w:t>
      </w:r>
    </w:p>
    <w:p w14:paraId="6F231DB1" w14:textId="77777777" w:rsidR="00AE3E37" w:rsidRDefault="00AE3E37">
      <w:pPr>
        <w:pStyle w:val="Textoindependiente"/>
        <w:spacing w:before="3"/>
        <w:rPr>
          <w:rFonts w:ascii="Arial"/>
          <w:sz w:val="21"/>
        </w:rPr>
      </w:pPr>
    </w:p>
    <w:p w14:paraId="313714AD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920F09D" w14:textId="77777777"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  <w:bookmarkStart w:id="0" w:name="_GoBack"/>
      <w:bookmarkEnd w:id="0"/>
    </w:p>
    <w:p w14:paraId="4CADBF1D" w14:textId="0BB58748" w:rsidR="00BD37CB" w:rsidRDefault="00B17CEA" w:rsidP="00BD37CB">
      <w:pPr>
        <w:pStyle w:val="Textoindependiente"/>
        <w:spacing w:before="90" w:line="280" w:lineRule="auto"/>
        <w:ind w:left="100"/>
        <w:jc w:val="both"/>
      </w:pPr>
      <w:r>
        <w:t xml:space="preserve">Major types of interior can coatings are made from synthetic polymers known as epoxy-based resins. These resins </w:t>
      </w:r>
      <w:r w:rsidR="00BE3255">
        <w:t xml:space="preserve">usually </w:t>
      </w:r>
      <w:r>
        <w:t xml:space="preserve">contain among their </w:t>
      </w:r>
      <w:proofErr w:type="gramStart"/>
      <w:r>
        <w:t>components</w:t>
      </w:r>
      <w:proofErr w:type="gramEnd"/>
      <w:r>
        <w:t xml:space="preserve"> bisphenol</w:t>
      </w:r>
      <w:r w:rsidR="006F41F5">
        <w:t xml:space="preserve"> related compounds</w:t>
      </w:r>
      <w:r>
        <w:t>, which can be released as well as oligomers and/or derivatives (</w:t>
      </w:r>
      <w:proofErr w:type="spellStart"/>
      <w:r>
        <w:t>hydrolysed</w:t>
      </w:r>
      <w:proofErr w:type="spellEnd"/>
      <w:r>
        <w:t xml:space="preserve"> or chlorinated) </w:t>
      </w:r>
      <w:r w:rsidR="00BE3255">
        <w:t xml:space="preserve">and reach the food. </w:t>
      </w:r>
      <w:r>
        <w:t xml:space="preserve">There is no specific European legislation for can coatings, but there are specific migration limits </w:t>
      </w:r>
      <w:r w:rsidR="00BE3255">
        <w:t xml:space="preserve">(SML) </w:t>
      </w:r>
      <w:r>
        <w:t xml:space="preserve">for some </w:t>
      </w:r>
      <w:r w:rsidR="00BE3255">
        <w:t>of them that are known to migrate. S</w:t>
      </w:r>
      <w:r>
        <w:t xml:space="preserve">everal </w:t>
      </w:r>
      <w:r w:rsidR="00BE3255">
        <w:t>investigations</w:t>
      </w:r>
      <w:r>
        <w:t xml:space="preserve"> have </w:t>
      </w:r>
      <w:r w:rsidR="005532B9">
        <w:t xml:space="preserve">suggested </w:t>
      </w:r>
      <w:r w:rsidR="006F41F5">
        <w:t>bisphenol A (</w:t>
      </w:r>
      <w:r w:rsidR="00BE3255">
        <w:t>BPA</w:t>
      </w:r>
      <w:r w:rsidR="006F41F5">
        <w:t>)</w:t>
      </w:r>
      <w:r w:rsidR="00BE3255">
        <w:t xml:space="preserve"> as an endocrine disruptive chemical, and for this reason other analogues have been developed to replace BPA in the manufacture of these resins.</w:t>
      </w:r>
      <w:r w:rsidR="00A470FB">
        <w:t xml:space="preserve"> </w:t>
      </w:r>
    </w:p>
    <w:p w14:paraId="11CC2260" w14:textId="19E14C25" w:rsidR="00A470FB" w:rsidRDefault="00A470FB" w:rsidP="00BD37CB">
      <w:pPr>
        <w:pStyle w:val="Textoindependiente"/>
        <w:spacing w:before="90" w:line="280" w:lineRule="auto"/>
        <w:ind w:left="100"/>
        <w:jc w:val="both"/>
      </w:pPr>
      <w:r>
        <w:t xml:space="preserve">In this work, canned food including fish (tuna, sardines), vegetables (corn, olives, asparagus, tomato), seafood (clams, mussels) and fruit (peach) were </w:t>
      </w:r>
      <w:r w:rsidR="00336368">
        <w:t xml:space="preserve">taken </w:t>
      </w:r>
      <w:r>
        <w:t>as study samples. Determination of the pH of each sample was carried out.</w:t>
      </w:r>
      <w:r w:rsidR="00BD37CB">
        <w:t xml:space="preserve"> </w:t>
      </w:r>
      <w:r>
        <w:t>The simultaneous identification and quantification of thirteen compounds including bisphenols (BPA, BPB, BPC, BPE, BPF, BPG) and BADGEs (BADGE, BADGE.H</w:t>
      </w:r>
      <w:r w:rsidRPr="006F41F5">
        <w:rPr>
          <w:vertAlign w:val="subscript"/>
        </w:rPr>
        <w:t>2</w:t>
      </w:r>
      <w:r>
        <w:t>O, BADGE.2H</w:t>
      </w:r>
      <w:r w:rsidRPr="006F41F5">
        <w:rPr>
          <w:vertAlign w:val="subscript"/>
        </w:rPr>
        <w:t>2</w:t>
      </w:r>
      <w:r>
        <w:t xml:space="preserve">O, </w:t>
      </w:r>
      <w:proofErr w:type="spellStart"/>
      <w:r>
        <w:t>BADGE.HCl</w:t>
      </w:r>
      <w:proofErr w:type="spellEnd"/>
      <w:r>
        <w:t>, BADGE.2HCl, BADGE.H</w:t>
      </w:r>
      <w:r w:rsidRPr="006F41F5">
        <w:rPr>
          <w:vertAlign w:val="subscript"/>
        </w:rPr>
        <w:t>2</w:t>
      </w:r>
      <w:r>
        <w:t>O.HCl, cyclo-di-BADGE)</w:t>
      </w:r>
      <w:r w:rsidR="00336368">
        <w:t xml:space="preserve"> was performed using an analytical method based on high performance liquid chromatography (HPLC) with fluorescence detection</w:t>
      </w:r>
      <w:r w:rsidR="00BD37CB">
        <w:t>, after extraction using heptane and acetonitrile as extraction solvents</w:t>
      </w:r>
      <w:r w:rsidR="00336368">
        <w:t>. In addition, a liquid chromatography coupled to tandem mass spectrometry (LC-MS/MS) method was optimized for confirmation purposes.</w:t>
      </w:r>
    </w:p>
    <w:p w14:paraId="17455A83" w14:textId="487C6BDC" w:rsidR="00336368" w:rsidRDefault="00336368" w:rsidP="00A470FB">
      <w:pPr>
        <w:pStyle w:val="Textoindependiente"/>
        <w:spacing w:before="90" w:line="280" w:lineRule="auto"/>
        <w:ind w:left="100"/>
        <w:jc w:val="both"/>
      </w:pPr>
      <w:r>
        <w:t>The HPLC-FLD method developed to determine the migrants in the food samples showed an adequate linearity (R</w:t>
      </w:r>
      <w:r w:rsidRPr="00BD37CB">
        <w:t>2</w:t>
      </w:r>
      <w:r w:rsidR="00BD37CB" w:rsidRPr="00BD37CB">
        <w:t xml:space="preserve"> </w:t>
      </w:r>
      <w:r>
        <w:t>&gt;</w:t>
      </w:r>
      <w:r w:rsidR="00BD37CB">
        <w:t xml:space="preserve"> </w:t>
      </w:r>
      <w:r>
        <w:t>0.9994), low detection levels (LOD</w:t>
      </w:r>
      <w:r w:rsidR="00BD37CB">
        <w:t xml:space="preserve"> = 5ppb), good repeatability (RSD % &lt; 12)</w:t>
      </w:r>
      <w:r>
        <w:t xml:space="preserve"> and acceptable recoveries (</w:t>
      </w:r>
      <w:r w:rsidR="00BD37CB">
        <w:t>&gt;70 %).</w:t>
      </w:r>
    </w:p>
    <w:p w14:paraId="73C176E5" w14:textId="77777777" w:rsidR="009E4D21" w:rsidRPr="009E4D21" w:rsidRDefault="009E4D21" w:rsidP="009E4D21">
      <w:pPr>
        <w:pStyle w:val="Textoindependiente"/>
        <w:spacing w:before="90" w:line="280" w:lineRule="auto"/>
        <w:ind w:left="100"/>
        <w:jc w:val="both"/>
        <w:rPr>
          <w:lang w:val="en-GB"/>
        </w:rPr>
      </w:pPr>
      <w:r w:rsidRPr="009E4D21">
        <w:rPr>
          <w:lang w:val="en-GB"/>
        </w:rPr>
        <w:t xml:space="preserve">The study was financially supported by the </w:t>
      </w:r>
      <w:proofErr w:type="spellStart"/>
      <w:r w:rsidRPr="009E4D21">
        <w:rPr>
          <w:lang w:val="en-GB"/>
        </w:rPr>
        <w:t>Ministerio</w:t>
      </w:r>
      <w:proofErr w:type="spellEnd"/>
      <w:r w:rsidRPr="009E4D21">
        <w:rPr>
          <w:lang w:val="en-GB"/>
        </w:rPr>
        <w:t xml:space="preserve"> de </w:t>
      </w:r>
      <w:proofErr w:type="spellStart"/>
      <w:r w:rsidRPr="009E4D21">
        <w:rPr>
          <w:lang w:val="en-GB"/>
        </w:rPr>
        <w:t>Ciencia</w:t>
      </w:r>
      <w:proofErr w:type="spellEnd"/>
      <w:r w:rsidRPr="009E4D21">
        <w:rPr>
          <w:lang w:val="en-GB"/>
        </w:rPr>
        <w:t xml:space="preserve">, </w:t>
      </w:r>
      <w:proofErr w:type="spellStart"/>
      <w:r w:rsidRPr="009E4D21">
        <w:rPr>
          <w:lang w:val="en-GB"/>
        </w:rPr>
        <w:t>Innovación</w:t>
      </w:r>
      <w:proofErr w:type="spellEnd"/>
      <w:r w:rsidRPr="009E4D21">
        <w:rPr>
          <w:lang w:val="en-GB"/>
        </w:rPr>
        <w:t xml:space="preserve"> y </w:t>
      </w:r>
      <w:proofErr w:type="spellStart"/>
      <w:r w:rsidRPr="009E4D21">
        <w:rPr>
          <w:lang w:val="en-GB"/>
        </w:rPr>
        <w:t>Universidades</w:t>
      </w:r>
      <w:proofErr w:type="spellEnd"/>
      <w:r w:rsidRPr="009E4D21">
        <w:rPr>
          <w:lang w:val="en-GB"/>
        </w:rPr>
        <w:t xml:space="preserve">, by </w:t>
      </w:r>
      <w:proofErr w:type="spellStart"/>
      <w:r w:rsidRPr="009E4D21">
        <w:rPr>
          <w:lang w:val="en-GB"/>
        </w:rPr>
        <w:t>Fondo</w:t>
      </w:r>
      <w:proofErr w:type="spellEnd"/>
      <w:r w:rsidRPr="009E4D21">
        <w:rPr>
          <w:lang w:val="en-GB"/>
        </w:rPr>
        <w:t xml:space="preserve"> </w:t>
      </w:r>
      <w:proofErr w:type="spellStart"/>
      <w:r w:rsidRPr="009E4D21">
        <w:rPr>
          <w:lang w:val="en-GB"/>
        </w:rPr>
        <w:t>Europeo</w:t>
      </w:r>
      <w:proofErr w:type="spellEnd"/>
      <w:r w:rsidRPr="009E4D21">
        <w:rPr>
          <w:lang w:val="en-GB"/>
        </w:rPr>
        <w:t xml:space="preserve"> de Desarrollo Regional (FEDER), and by </w:t>
      </w:r>
      <w:proofErr w:type="spellStart"/>
      <w:r w:rsidRPr="009E4D21">
        <w:rPr>
          <w:lang w:val="en-GB"/>
        </w:rPr>
        <w:t>Agencia</w:t>
      </w:r>
      <w:proofErr w:type="spellEnd"/>
      <w:r w:rsidRPr="009E4D21">
        <w:rPr>
          <w:lang w:val="en-GB"/>
        </w:rPr>
        <w:t xml:space="preserve"> </w:t>
      </w:r>
      <w:proofErr w:type="spellStart"/>
      <w:r w:rsidRPr="009E4D21">
        <w:rPr>
          <w:lang w:val="en-GB"/>
        </w:rPr>
        <w:t>Estatal</w:t>
      </w:r>
      <w:proofErr w:type="spellEnd"/>
      <w:r w:rsidRPr="009E4D21">
        <w:rPr>
          <w:lang w:val="en-GB"/>
        </w:rPr>
        <w:t xml:space="preserve"> de </w:t>
      </w:r>
      <w:proofErr w:type="spellStart"/>
      <w:r w:rsidRPr="009E4D21">
        <w:rPr>
          <w:lang w:val="en-GB"/>
        </w:rPr>
        <w:t>Investigación</w:t>
      </w:r>
      <w:proofErr w:type="spellEnd"/>
      <w:r w:rsidRPr="009E4D21">
        <w:rPr>
          <w:lang w:val="en-GB"/>
        </w:rPr>
        <w:t xml:space="preserve"> </w:t>
      </w:r>
      <w:proofErr w:type="spellStart"/>
      <w:r w:rsidRPr="009E4D21">
        <w:rPr>
          <w:lang w:val="en-GB"/>
        </w:rPr>
        <w:t>Ref.No</w:t>
      </w:r>
      <w:proofErr w:type="spellEnd"/>
      <w:r w:rsidRPr="009E4D21">
        <w:rPr>
          <w:lang w:val="en-GB"/>
        </w:rPr>
        <w:t xml:space="preserve">. PGC2018-094518-B-I00 “MIGRACOATING” (MINECO/FEDER, UE). Antía </w:t>
      </w:r>
      <w:proofErr w:type="spellStart"/>
      <w:r w:rsidRPr="009E4D21">
        <w:rPr>
          <w:lang w:val="en-GB"/>
        </w:rPr>
        <w:t>Lestido</w:t>
      </w:r>
      <w:proofErr w:type="spellEnd"/>
      <w:r w:rsidRPr="009E4D21">
        <w:rPr>
          <w:lang w:val="en-GB"/>
        </w:rPr>
        <w:t xml:space="preserve"> is grateful for her grant “</w:t>
      </w:r>
      <w:proofErr w:type="spellStart"/>
      <w:r w:rsidRPr="009E4D21">
        <w:rPr>
          <w:lang w:val="en-GB"/>
        </w:rPr>
        <w:t>Programa</w:t>
      </w:r>
      <w:proofErr w:type="spellEnd"/>
      <w:r w:rsidRPr="009E4D21">
        <w:rPr>
          <w:lang w:val="en-GB"/>
        </w:rPr>
        <w:t xml:space="preserve"> de </w:t>
      </w:r>
      <w:proofErr w:type="spellStart"/>
      <w:r w:rsidRPr="009E4D21">
        <w:rPr>
          <w:lang w:val="en-GB"/>
        </w:rPr>
        <w:t>axudas</w:t>
      </w:r>
      <w:proofErr w:type="spellEnd"/>
      <w:r w:rsidRPr="009E4D21">
        <w:rPr>
          <w:lang w:val="en-GB"/>
        </w:rPr>
        <w:t xml:space="preserve"> á </w:t>
      </w:r>
      <w:proofErr w:type="spellStart"/>
      <w:r w:rsidRPr="009E4D21">
        <w:rPr>
          <w:lang w:val="en-GB"/>
        </w:rPr>
        <w:t>etapa</w:t>
      </w:r>
      <w:proofErr w:type="spellEnd"/>
      <w:r w:rsidRPr="009E4D21">
        <w:rPr>
          <w:lang w:val="en-GB"/>
        </w:rPr>
        <w:t xml:space="preserve"> </w:t>
      </w:r>
      <w:proofErr w:type="spellStart"/>
      <w:r w:rsidRPr="009E4D21">
        <w:rPr>
          <w:lang w:val="en-GB"/>
        </w:rPr>
        <w:t>predoutoral</w:t>
      </w:r>
      <w:proofErr w:type="spellEnd"/>
      <w:r w:rsidRPr="009E4D21">
        <w:rPr>
          <w:lang w:val="en-GB"/>
        </w:rPr>
        <w:t xml:space="preserve">” da </w:t>
      </w:r>
      <w:proofErr w:type="spellStart"/>
      <w:r w:rsidRPr="009E4D21">
        <w:rPr>
          <w:lang w:val="en-GB"/>
        </w:rPr>
        <w:t>Xunta</w:t>
      </w:r>
      <w:proofErr w:type="spellEnd"/>
      <w:r w:rsidRPr="009E4D21">
        <w:rPr>
          <w:lang w:val="en-GB"/>
        </w:rPr>
        <w:t xml:space="preserve"> de Galicia (</w:t>
      </w:r>
      <w:proofErr w:type="spellStart"/>
      <w:r w:rsidRPr="009E4D21">
        <w:rPr>
          <w:lang w:val="en-GB"/>
        </w:rPr>
        <w:t>Consellería</w:t>
      </w:r>
      <w:proofErr w:type="spellEnd"/>
      <w:r w:rsidRPr="009E4D21">
        <w:rPr>
          <w:lang w:val="en-GB"/>
        </w:rPr>
        <w:t xml:space="preserve"> de </w:t>
      </w:r>
      <w:proofErr w:type="spellStart"/>
      <w:r w:rsidRPr="009E4D21">
        <w:rPr>
          <w:lang w:val="en-GB"/>
        </w:rPr>
        <w:t>Cultura</w:t>
      </w:r>
      <w:proofErr w:type="spellEnd"/>
      <w:r w:rsidRPr="009E4D21">
        <w:rPr>
          <w:lang w:val="en-GB"/>
        </w:rPr>
        <w:t xml:space="preserve">, </w:t>
      </w:r>
      <w:proofErr w:type="spellStart"/>
      <w:r w:rsidRPr="009E4D21">
        <w:rPr>
          <w:lang w:val="en-GB"/>
        </w:rPr>
        <w:t>Educación</w:t>
      </w:r>
      <w:proofErr w:type="spellEnd"/>
      <w:r w:rsidRPr="009E4D21">
        <w:rPr>
          <w:lang w:val="en-GB"/>
        </w:rPr>
        <w:t xml:space="preserve"> e </w:t>
      </w:r>
      <w:proofErr w:type="spellStart"/>
      <w:r w:rsidRPr="009E4D21">
        <w:rPr>
          <w:lang w:val="en-GB"/>
        </w:rPr>
        <w:t>Ordenación</w:t>
      </w:r>
      <w:proofErr w:type="spellEnd"/>
      <w:r w:rsidRPr="009E4D21">
        <w:rPr>
          <w:lang w:val="en-GB"/>
        </w:rPr>
        <w:t xml:space="preserve"> </w:t>
      </w:r>
      <w:proofErr w:type="spellStart"/>
      <w:r w:rsidRPr="009E4D21">
        <w:rPr>
          <w:lang w:val="en-GB"/>
        </w:rPr>
        <w:t>Universitaria</w:t>
      </w:r>
      <w:proofErr w:type="spellEnd"/>
      <w:r w:rsidRPr="009E4D21">
        <w:rPr>
          <w:lang w:val="en-GB"/>
        </w:rPr>
        <w:t>).</w:t>
      </w:r>
    </w:p>
    <w:p w14:paraId="5FFB1A90" w14:textId="77777777" w:rsidR="009E4D21" w:rsidRPr="009E4D21" w:rsidRDefault="009E4D21" w:rsidP="009E4D21">
      <w:pPr>
        <w:pStyle w:val="Textoindependiente"/>
        <w:spacing w:before="90" w:line="280" w:lineRule="auto"/>
        <w:ind w:left="100"/>
        <w:jc w:val="both"/>
        <w:rPr>
          <w:lang w:val="en-GB"/>
        </w:rPr>
      </w:pPr>
      <w:r w:rsidRPr="009E4D21">
        <w:rPr>
          <w:lang w:val="en-GB"/>
        </w:rPr>
        <w:t xml:space="preserve"> </w:t>
      </w:r>
    </w:p>
    <w:p w14:paraId="6842BC39" w14:textId="77777777" w:rsidR="009E4D21" w:rsidRPr="009E4D21" w:rsidRDefault="009E4D21" w:rsidP="00A470FB">
      <w:pPr>
        <w:pStyle w:val="Textoindependiente"/>
        <w:spacing w:before="90" w:line="280" w:lineRule="auto"/>
        <w:ind w:left="100"/>
        <w:jc w:val="both"/>
        <w:rPr>
          <w:lang w:val="en-GB"/>
        </w:rPr>
      </w:pPr>
    </w:p>
    <w:p w14:paraId="536F764A" w14:textId="5F610114" w:rsidR="00336368" w:rsidRDefault="00336368" w:rsidP="00A470FB">
      <w:pPr>
        <w:pStyle w:val="Textoindependiente"/>
        <w:spacing w:before="90" w:line="280" w:lineRule="auto"/>
        <w:ind w:left="100"/>
        <w:jc w:val="both"/>
      </w:pPr>
    </w:p>
    <w:p w14:paraId="0741EF1D" w14:textId="77777777"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077EEA8E" w14:textId="1FB573FF" w:rsidR="00AE3E37" w:rsidRDefault="005816C6">
      <w:pPr>
        <w:pStyle w:val="Textoindependiente"/>
        <w:spacing w:before="2"/>
        <w:rPr>
          <w:rFonts w:ascii="Arial"/>
          <w:b/>
          <w:sz w:val="16"/>
        </w:rPr>
      </w:pPr>
      <w:r>
        <w:rPr>
          <w:noProof/>
          <w:lang w:val="es-ES" w:eastAsia="es-ES"/>
        </w:rPr>
        <w:drawing>
          <wp:inline distT="0" distB="0" distL="0" distR="0" wp14:anchorId="6495D2C5" wp14:editId="1BBB0C85">
            <wp:extent cx="3231770" cy="2476500"/>
            <wp:effectExtent l="0" t="0" r="6985" b="0"/>
            <wp:docPr id="61" name="Imagen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94065" cy="2524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5D7B9" w14:textId="7EC59B64" w:rsidR="00564A78" w:rsidRPr="00564A78" w:rsidRDefault="00564A78" w:rsidP="005973B9">
      <w:pPr>
        <w:spacing w:line="204" w:lineRule="exact"/>
        <w:rPr>
          <w:sz w:val="16"/>
          <w:szCs w:val="16"/>
        </w:rPr>
      </w:pPr>
      <w:r w:rsidRPr="00564A78">
        <w:rPr>
          <w:sz w:val="16"/>
          <w:szCs w:val="16"/>
        </w:rPr>
        <w:t xml:space="preserve">Table 1: </w:t>
      </w:r>
      <w:proofErr w:type="spellStart"/>
      <w:r w:rsidRPr="00564A78">
        <w:rPr>
          <w:sz w:val="16"/>
          <w:szCs w:val="16"/>
        </w:rPr>
        <w:t>Formules</w:t>
      </w:r>
      <w:proofErr w:type="spellEnd"/>
      <w:r w:rsidRPr="00564A78">
        <w:rPr>
          <w:sz w:val="16"/>
          <w:szCs w:val="16"/>
        </w:rPr>
        <w:t xml:space="preserve"> and chemical structures of the </w:t>
      </w:r>
      <w:proofErr w:type="spellStart"/>
      <w:r w:rsidRPr="00564A78">
        <w:rPr>
          <w:sz w:val="16"/>
          <w:szCs w:val="16"/>
        </w:rPr>
        <w:t>anlytes</w:t>
      </w:r>
      <w:proofErr w:type="spellEnd"/>
      <w:r w:rsidRPr="00564A78">
        <w:rPr>
          <w:sz w:val="16"/>
          <w:szCs w:val="16"/>
        </w:rPr>
        <w:t xml:space="preserve"> studied.</w:t>
      </w:r>
    </w:p>
    <w:p w14:paraId="2AF8F3D9" w14:textId="2FF72150" w:rsidR="005973B9" w:rsidRDefault="005973B9" w:rsidP="005973B9">
      <w:pPr>
        <w:spacing w:line="204" w:lineRule="exact"/>
        <w:rPr>
          <w:rFonts w:ascii="Arial"/>
          <w:b/>
          <w:sz w:val="20"/>
        </w:rPr>
      </w:pPr>
      <w:r w:rsidRPr="00564A78">
        <w:rPr>
          <w:sz w:val="16"/>
          <w:szCs w:val="16"/>
        </w:rPr>
        <w:br/>
      </w:r>
      <w:r>
        <w:rPr>
          <w:rFonts w:ascii="Arial"/>
          <w:b/>
          <w:color w:val="BF5A14"/>
          <w:sz w:val="20"/>
        </w:rPr>
        <w:t>Recent Publications (minimum 5)</w:t>
      </w:r>
    </w:p>
    <w:p w14:paraId="43E372B6" w14:textId="47DB84EE" w:rsidR="009257C4" w:rsidRDefault="009257C4" w:rsidP="008A096A">
      <w:pPr>
        <w:pStyle w:val="Prrafodelista"/>
        <w:widowControl/>
        <w:numPr>
          <w:ilvl w:val="0"/>
          <w:numId w:val="3"/>
        </w:numPr>
        <w:tabs>
          <w:tab w:val="left" w:pos="384"/>
        </w:tabs>
        <w:spacing w:before="0" w:after="160" w:line="259" w:lineRule="auto"/>
        <w:ind w:right="138"/>
        <w:contextualSpacing/>
        <w:rPr>
          <w:sz w:val="18"/>
          <w:lang w:val="es-ES"/>
        </w:rPr>
      </w:pPr>
      <w:proofErr w:type="spellStart"/>
      <w:r w:rsidRPr="005532B9">
        <w:rPr>
          <w:sz w:val="18"/>
        </w:rPr>
        <w:t>Xiong</w:t>
      </w:r>
      <w:proofErr w:type="spellEnd"/>
      <w:r w:rsidRPr="005532B9">
        <w:rPr>
          <w:sz w:val="18"/>
        </w:rPr>
        <w:t xml:space="preserve"> L, Yan P, Chu M, Gao Y Q, Li W H, Yang X L (2018). </w:t>
      </w:r>
      <w:r w:rsidRPr="005E4D22">
        <w:rPr>
          <w:sz w:val="18"/>
        </w:rPr>
        <w:t xml:space="preserve">A rapid and simple HPLC–FLD screening method with </w:t>
      </w:r>
      <w:proofErr w:type="spellStart"/>
      <w:r w:rsidRPr="005E4D22">
        <w:rPr>
          <w:sz w:val="18"/>
        </w:rPr>
        <w:t>QuEChERS</w:t>
      </w:r>
      <w:proofErr w:type="spellEnd"/>
      <w:r w:rsidRPr="005E4D22">
        <w:rPr>
          <w:sz w:val="18"/>
        </w:rPr>
        <w:t xml:space="preserve"> as the sample treatment for the simultaneous monitoring of nine bisphenols in milk. </w:t>
      </w:r>
      <w:proofErr w:type="spellStart"/>
      <w:r w:rsidRPr="009257C4">
        <w:rPr>
          <w:sz w:val="18"/>
          <w:lang w:val="es-ES"/>
        </w:rPr>
        <w:t>Food</w:t>
      </w:r>
      <w:proofErr w:type="spellEnd"/>
      <w:r w:rsidRPr="009257C4">
        <w:rPr>
          <w:sz w:val="18"/>
          <w:lang w:val="es-ES"/>
        </w:rPr>
        <w:t xml:space="preserve"> </w:t>
      </w:r>
      <w:proofErr w:type="spellStart"/>
      <w:r w:rsidRPr="009257C4">
        <w:rPr>
          <w:sz w:val="18"/>
          <w:lang w:val="es-ES"/>
        </w:rPr>
        <w:t>chemistry</w:t>
      </w:r>
      <w:proofErr w:type="spellEnd"/>
      <w:r w:rsidRPr="009257C4">
        <w:rPr>
          <w:sz w:val="18"/>
          <w:lang w:val="es-ES"/>
        </w:rPr>
        <w:t>, 244, 371-377.</w:t>
      </w:r>
    </w:p>
    <w:p w14:paraId="4B878ACF" w14:textId="5B0D8304" w:rsidR="00B70606" w:rsidRPr="00B70606" w:rsidRDefault="00B70606" w:rsidP="008A096A">
      <w:pPr>
        <w:pStyle w:val="Prrafodelista"/>
        <w:widowControl/>
        <w:numPr>
          <w:ilvl w:val="0"/>
          <w:numId w:val="3"/>
        </w:numPr>
        <w:tabs>
          <w:tab w:val="left" w:pos="384"/>
        </w:tabs>
        <w:spacing w:before="0" w:after="160" w:line="259" w:lineRule="auto"/>
        <w:ind w:right="138"/>
        <w:contextualSpacing/>
        <w:rPr>
          <w:sz w:val="18"/>
          <w:lang w:val="en-GB"/>
        </w:rPr>
      </w:pPr>
      <w:r w:rsidRPr="00B70606">
        <w:rPr>
          <w:sz w:val="18"/>
          <w:lang w:val="pt-PT"/>
        </w:rPr>
        <w:t xml:space="preserve">Cardama A L, Rodríguez Bernaldo de Quirós A, Sendón R (2017). </w:t>
      </w:r>
      <w:r w:rsidRPr="00B70606">
        <w:rPr>
          <w:sz w:val="18"/>
          <w:lang w:val="en-GB"/>
        </w:rPr>
        <w:t xml:space="preserve">Analysis of </w:t>
      </w:r>
      <w:r w:rsidR="008D2184">
        <w:rPr>
          <w:sz w:val="18"/>
          <w:lang w:val="en-GB"/>
        </w:rPr>
        <w:t>b</w:t>
      </w:r>
      <w:r w:rsidR="008D2184" w:rsidRPr="00B70606">
        <w:rPr>
          <w:sz w:val="18"/>
          <w:lang w:val="en-GB"/>
        </w:rPr>
        <w:t xml:space="preserve">isphenol </w:t>
      </w:r>
      <w:r w:rsidRPr="00B70606">
        <w:rPr>
          <w:sz w:val="18"/>
          <w:lang w:val="en-GB"/>
        </w:rPr>
        <w:t xml:space="preserve">A in </w:t>
      </w:r>
      <w:r w:rsidR="008D2184">
        <w:rPr>
          <w:sz w:val="18"/>
          <w:lang w:val="en-GB"/>
        </w:rPr>
        <w:t>b</w:t>
      </w:r>
      <w:r w:rsidR="008D2184" w:rsidRPr="00B70606">
        <w:rPr>
          <w:sz w:val="18"/>
          <w:lang w:val="en-GB"/>
        </w:rPr>
        <w:t xml:space="preserve">everages </w:t>
      </w:r>
      <w:r w:rsidRPr="00B70606">
        <w:rPr>
          <w:sz w:val="18"/>
          <w:lang w:val="en-GB"/>
        </w:rPr>
        <w:t xml:space="preserve">and </w:t>
      </w:r>
      <w:r w:rsidR="008D2184">
        <w:rPr>
          <w:sz w:val="18"/>
          <w:lang w:val="en-GB"/>
        </w:rPr>
        <w:t>f</w:t>
      </w:r>
      <w:r w:rsidR="008D2184" w:rsidRPr="00B70606">
        <w:rPr>
          <w:sz w:val="18"/>
          <w:lang w:val="en-GB"/>
        </w:rPr>
        <w:t xml:space="preserve">ood </w:t>
      </w:r>
      <w:r w:rsidR="008D2184">
        <w:rPr>
          <w:sz w:val="18"/>
          <w:lang w:val="en-GB"/>
        </w:rPr>
        <w:t>p</w:t>
      </w:r>
      <w:r w:rsidR="008D2184" w:rsidRPr="00B70606">
        <w:rPr>
          <w:sz w:val="18"/>
          <w:lang w:val="en-GB"/>
        </w:rPr>
        <w:t xml:space="preserve">ackaging </w:t>
      </w:r>
      <w:r w:rsidRPr="00B70606">
        <w:rPr>
          <w:sz w:val="18"/>
          <w:lang w:val="en-GB"/>
        </w:rPr>
        <w:t xml:space="preserve">by </w:t>
      </w:r>
      <w:r w:rsidR="008D2184">
        <w:rPr>
          <w:sz w:val="18"/>
          <w:lang w:val="en-GB"/>
        </w:rPr>
        <w:t>h</w:t>
      </w:r>
      <w:r w:rsidR="008D2184" w:rsidRPr="00B70606">
        <w:rPr>
          <w:sz w:val="18"/>
          <w:lang w:val="en-GB"/>
        </w:rPr>
        <w:t>igh</w:t>
      </w:r>
      <w:r w:rsidRPr="00B70606">
        <w:rPr>
          <w:sz w:val="18"/>
          <w:lang w:val="en-GB"/>
        </w:rPr>
        <w:t xml:space="preserve">- </w:t>
      </w:r>
      <w:r w:rsidR="008D2184">
        <w:rPr>
          <w:sz w:val="18"/>
          <w:lang w:val="en-GB"/>
        </w:rPr>
        <w:t>p</w:t>
      </w:r>
      <w:r w:rsidR="008D2184" w:rsidRPr="00B70606">
        <w:rPr>
          <w:sz w:val="18"/>
          <w:lang w:val="en-GB"/>
        </w:rPr>
        <w:t xml:space="preserve">erformance </w:t>
      </w:r>
      <w:r w:rsidR="008D2184">
        <w:rPr>
          <w:sz w:val="18"/>
          <w:lang w:val="en-GB"/>
        </w:rPr>
        <w:t>l</w:t>
      </w:r>
      <w:r w:rsidR="008D2184" w:rsidRPr="00B70606">
        <w:rPr>
          <w:sz w:val="18"/>
          <w:lang w:val="en-GB"/>
        </w:rPr>
        <w:t xml:space="preserve">iquid </w:t>
      </w:r>
      <w:r w:rsidR="008D2184">
        <w:rPr>
          <w:sz w:val="18"/>
          <w:lang w:val="en-GB"/>
        </w:rPr>
        <w:t>c</w:t>
      </w:r>
      <w:r w:rsidR="008D2184" w:rsidRPr="00B70606">
        <w:rPr>
          <w:sz w:val="18"/>
          <w:lang w:val="en-GB"/>
        </w:rPr>
        <w:t>hromatography</w:t>
      </w:r>
      <w:r w:rsidRPr="00B70606">
        <w:rPr>
          <w:sz w:val="18"/>
          <w:lang w:val="en-GB"/>
        </w:rPr>
        <w:t xml:space="preserve">. Food </w:t>
      </w:r>
      <w:r>
        <w:rPr>
          <w:sz w:val="18"/>
          <w:lang w:val="en-GB"/>
        </w:rPr>
        <w:t xml:space="preserve">&amp; </w:t>
      </w:r>
      <w:r w:rsidRPr="00B70606">
        <w:rPr>
          <w:sz w:val="18"/>
          <w:lang w:val="en-GB"/>
        </w:rPr>
        <w:t>Nutr</w:t>
      </w:r>
      <w:r>
        <w:rPr>
          <w:sz w:val="18"/>
          <w:lang w:val="en-GB"/>
        </w:rPr>
        <w:t>i</w:t>
      </w:r>
      <w:r w:rsidR="00672DDC">
        <w:rPr>
          <w:sz w:val="18"/>
          <w:lang w:val="en-GB"/>
        </w:rPr>
        <w:t>ti</w:t>
      </w:r>
      <w:r>
        <w:rPr>
          <w:sz w:val="18"/>
          <w:lang w:val="en-GB"/>
        </w:rPr>
        <w:t>on Journal,</w:t>
      </w:r>
      <w:r w:rsidR="00672DDC">
        <w:rPr>
          <w:sz w:val="18"/>
          <w:lang w:val="en-GB"/>
        </w:rPr>
        <w:t xml:space="preserve"> 2017(5), 1-4</w:t>
      </w:r>
      <w:r w:rsidRPr="00B70606">
        <w:rPr>
          <w:sz w:val="18"/>
          <w:lang w:val="en-GB"/>
        </w:rPr>
        <w:t>.</w:t>
      </w:r>
    </w:p>
    <w:p w14:paraId="71416312" w14:textId="306818FB" w:rsidR="009257C4" w:rsidRPr="009257C4" w:rsidRDefault="009257C4" w:rsidP="008A096A">
      <w:pPr>
        <w:pStyle w:val="Prrafodelista"/>
        <w:widowControl/>
        <w:numPr>
          <w:ilvl w:val="0"/>
          <w:numId w:val="3"/>
        </w:numPr>
        <w:tabs>
          <w:tab w:val="left" w:pos="384"/>
        </w:tabs>
        <w:spacing w:before="0" w:after="160" w:line="259" w:lineRule="auto"/>
        <w:ind w:right="138"/>
        <w:contextualSpacing/>
        <w:rPr>
          <w:sz w:val="18"/>
          <w:lang w:val="es-ES"/>
        </w:rPr>
      </w:pPr>
      <w:r w:rsidRPr="005532B9">
        <w:rPr>
          <w:sz w:val="18"/>
          <w:lang w:val="pt-PT"/>
        </w:rPr>
        <w:t xml:space="preserve">Alabi A, Caballero-Casero N, Rubio S (2014). </w:t>
      </w:r>
      <w:r w:rsidRPr="005E4D22">
        <w:rPr>
          <w:sz w:val="18"/>
        </w:rPr>
        <w:t xml:space="preserve">Quick and simple sample treatment for multiresidue analysis of bisphenols, bisphenol diglycidyl ethers and their derivatives in canned food prior to liquid chromatography and fluorescence detection. </w:t>
      </w:r>
      <w:proofErr w:type="spellStart"/>
      <w:r w:rsidRPr="009257C4">
        <w:rPr>
          <w:sz w:val="18"/>
          <w:lang w:val="es-ES"/>
        </w:rPr>
        <w:t>Journal</w:t>
      </w:r>
      <w:proofErr w:type="spellEnd"/>
      <w:r w:rsidRPr="009257C4">
        <w:rPr>
          <w:sz w:val="18"/>
          <w:lang w:val="es-ES"/>
        </w:rPr>
        <w:t xml:space="preserve"> </w:t>
      </w:r>
      <w:proofErr w:type="spellStart"/>
      <w:r w:rsidRPr="009257C4">
        <w:rPr>
          <w:sz w:val="18"/>
          <w:lang w:val="es-ES"/>
        </w:rPr>
        <w:t>of</w:t>
      </w:r>
      <w:proofErr w:type="spellEnd"/>
      <w:r w:rsidRPr="009257C4">
        <w:rPr>
          <w:sz w:val="18"/>
          <w:lang w:val="es-ES"/>
        </w:rPr>
        <w:t xml:space="preserve"> </w:t>
      </w:r>
      <w:proofErr w:type="spellStart"/>
      <w:r w:rsidRPr="009257C4">
        <w:rPr>
          <w:sz w:val="18"/>
          <w:lang w:val="es-ES"/>
        </w:rPr>
        <w:t>Chromatography</w:t>
      </w:r>
      <w:proofErr w:type="spellEnd"/>
      <w:r w:rsidRPr="009257C4">
        <w:rPr>
          <w:sz w:val="18"/>
          <w:lang w:val="es-ES"/>
        </w:rPr>
        <w:t xml:space="preserve"> A, 1336, 23-33.</w:t>
      </w:r>
    </w:p>
    <w:p w14:paraId="654F67D4" w14:textId="62E7CA1B" w:rsidR="009257C4" w:rsidRPr="009257C4" w:rsidRDefault="009257C4" w:rsidP="008A096A">
      <w:pPr>
        <w:pStyle w:val="Prrafodelista"/>
        <w:widowControl/>
        <w:numPr>
          <w:ilvl w:val="0"/>
          <w:numId w:val="3"/>
        </w:numPr>
        <w:tabs>
          <w:tab w:val="left" w:pos="384"/>
        </w:tabs>
        <w:spacing w:before="0" w:after="160" w:line="259" w:lineRule="auto"/>
        <w:ind w:right="138"/>
        <w:contextualSpacing/>
        <w:rPr>
          <w:sz w:val="18"/>
        </w:rPr>
      </w:pPr>
      <w:r w:rsidRPr="009257C4">
        <w:rPr>
          <w:sz w:val="18"/>
          <w:lang w:val="es-ES"/>
        </w:rPr>
        <w:t xml:space="preserve">Gallart-Ayala H, Moyano E, Galceran M T (2011). </w:t>
      </w:r>
      <w:r w:rsidRPr="009257C4">
        <w:rPr>
          <w:sz w:val="18"/>
        </w:rPr>
        <w:t>Fast liquid chromatography–tandem mass spectrometry for the analysis of bisphenol A-diglycidyl ether, bisphenol F-diglycidyl ether and their derivatives in canned food and beverages. Journal of Chromatography A, 1218(12), 1603-1610.</w:t>
      </w:r>
    </w:p>
    <w:p w14:paraId="3DECCA2D" w14:textId="0B6DC741" w:rsidR="00AE3E37" w:rsidRPr="008756E6" w:rsidRDefault="008D2184" w:rsidP="009257C4">
      <w:pPr>
        <w:pStyle w:val="Prrafodelista"/>
        <w:widowControl/>
        <w:numPr>
          <w:ilvl w:val="0"/>
          <w:numId w:val="3"/>
        </w:numPr>
        <w:spacing w:before="0" w:after="160" w:line="259" w:lineRule="auto"/>
        <w:contextualSpacing/>
      </w:pPr>
      <w:proofErr w:type="spellStart"/>
      <w:r w:rsidRPr="005532B9">
        <w:rPr>
          <w:sz w:val="18"/>
          <w:lang w:val="en-GB"/>
        </w:rPr>
        <w:t>Sendón</w:t>
      </w:r>
      <w:proofErr w:type="spellEnd"/>
      <w:r w:rsidRPr="005532B9">
        <w:rPr>
          <w:sz w:val="18"/>
          <w:lang w:val="en-GB"/>
        </w:rPr>
        <w:t xml:space="preserve"> </w:t>
      </w:r>
      <w:proofErr w:type="spellStart"/>
      <w:r w:rsidR="009257C4" w:rsidRPr="005532B9">
        <w:rPr>
          <w:sz w:val="18"/>
          <w:lang w:val="en-GB"/>
        </w:rPr>
        <w:t>Garcı́a</w:t>
      </w:r>
      <w:proofErr w:type="spellEnd"/>
      <w:r w:rsidR="009257C4" w:rsidRPr="005532B9">
        <w:rPr>
          <w:sz w:val="18"/>
          <w:lang w:val="en-GB"/>
        </w:rPr>
        <w:t xml:space="preserve"> R, </w:t>
      </w:r>
      <w:proofErr w:type="spellStart"/>
      <w:r w:rsidRPr="005532B9">
        <w:rPr>
          <w:sz w:val="18"/>
          <w:lang w:val="en-GB"/>
        </w:rPr>
        <w:t>Paseiro</w:t>
      </w:r>
      <w:proofErr w:type="spellEnd"/>
      <w:r w:rsidRPr="005532B9">
        <w:rPr>
          <w:sz w:val="18"/>
          <w:lang w:val="en-GB"/>
        </w:rPr>
        <w:t xml:space="preserve"> </w:t>
      </w:r>
      <w:proofErr w:type="spellStart"/>
      <w:r w:rsidR="009257C4" w:rsidRPr="005532B9">
        <w:rPr>
          <w:sz w:val="18"/>
          <w:lang w:val="en-GB"/>
        </w:rPr>
        <w:t>Losada</w:t>
      </w:r>
      <w:proofErr w:type="spellEnd"/>
      <w:r w:rsidR="009257C4" w:rsidRPr="005532B9">
        <w:rPr>
          <w:sz w:val="18"/>
          <w:lang w:val="en-GB"/>
        </w:rPr>
        <w:t xml:space="preserve"> P (2004). </w:t>
      </w:r>
      <w:r w:rsidR="009257C4" w:rsidRPr="00B452E3">
        <w:rPr>
          <w:sz w:val="18"/>
        </w:rPr>
        <w:t xml:space="preserve">Determination of bisphenol A diglycidyl ether and its hydrolysis and </w:t>
      </w:r>
      <w:proofErr w:type="spellStart"/>
      <w:r w:rsidR="009257C4" w:rsidRPr="00B452E3">
        <w:rPr>
          <w:sz w:val="18"/>
        </w:rPr>
        <w:t>chlorohydroxy</w:t>
      </w:r>
      <w:proofErr w:type="spellEnd"/>
      <w:r w:rsidR="009257C4" w:rsidRPr="00B452E3">
        <w:rPr>
          <w:sz w:val="18"/>
        </w:rPr>
        <w:t xml:space="preserve"> derivatives by liquid chromatography–mass spectrometry. Journal of Chromatography A, 1032(1-2), 37-43.</w:t>
      </w:r>
      <w:r w:rsidR="009257C4" w:rsidRPr="008756E6">
        <w:t xml:space="preserve"> </w:t>
      </w:r>
    </w:p>
    <w:p w14:paraId="4015025B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1082704" w14:textId="77777777" w:rsidR="00AE3E37" w:rsidRDefault="00AE3E37">
      <w:pPr>
        <w:pStyle w:val="Textoindependiente"/>
        <w:rPr>
          <w:rFonts w:ascii="Calibri"/>
          <w:sz w:val="20"/>
        </w:rPr>
      </w:pPr>
    </w:p>
    <w:p w14:paraId="30CD82A5" w14:textId="77777777"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 wp14:anchorId="6CEAF2EA" wp14:editId="0C75DCF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D2DD1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719C4A4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>
        <w:rPr>
          <w:noProof/>
          <w:lang w:val="es-ES" w:eastAsia="es-ES"/>
        </w:rPr>
        <w:drawing>
          <wp:inline distT="0" distB="0" distL="0" distR="0" wp14:anchorId="20A9CC9D" wp14:editId="2D1B6C5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403C8701" w14:textId="075AB003" w:rsidR="00636F82" w:rsidRPr="009A63F4" w:rsidRDefault="00636F82" w:rsidP="00636F82">
      <w:pPr>
        <w:spacing w:before="41" w:line="154" w:lineRule="exact"/>
        <w:ind w:left="213" w:right="231"/>
        <w:jc w:val="both"/>
        <w:rPr>
          <w:rFonts w:ascii="Arial" w:hAnsi="Arial" w:cs="Arial"/>
          <w:sz w:val="14"/>
        </w:rPr>
      </w:pPr>
      <w:r w:rsidRPr="009A63F4">
        <w:rPr>
          <w:rFonts w:ascii="Arial" w:hAnsi="Arial" w:cs="Arial"/>
          <w:sz w:val="14"/>
        </w:rPr>
        <w:t xml:space="preserve">Antía </w:t>
      </w:r>
      <w:proofErr w:type="spellStart"/>
      <w:r w:rsidRPr="009A63F4">
        <w:rPr>
          <w:rFonts w:ascii="Arial" w:hAnsi="Arial" w:cs="Arial"/>
          <w:sz w:val="14"/>
        </w:rPr>
        <w:t>Lestido</w:t>
      </w:r>
      <w:proofErr w:type="spellEnd"/>
      <w:r w:rsidRPr="009A63F4">
        <w:rPr>
          <w:rFonts w:ascii="Arial" w:hAnsi="Arial" w:cs="Arial"/>
          <w:sz w:val="14"/>
        </w:rPr>
        <w:t xml:space="preserve"> is a PhD student in the Department of Analytical chemistry, Nutrition and Food Science in the Faculty of Pharmacy, University of Santiago de Compostela (Spain). Her studies are based on the </w:t>
      </w:r>
      <w:r>
        <w:rPr>
          <w:rFonts w:ascii="Arial" w:hAnsi="Arial" w:cs="Arial"/>
          <w:sz w:val="14"/>
        </w:rPr>
        <w:t xml:space="preserve">estimation of the </w:t>
      </w:r>
      <w:r w:rsidRPr="009A63F4">
        <w:rPr>
          <w:rFonts w:ascii="Arial" w:hAnsi="Arial" w:cs="Arial"/>
          <w:sz w:val="14"/>
        </w:rPr>
        <w:t xml:space="preserve">exposition to different chemical migrants present in food packaging using methodologies based on gas chromatography </w:t>
      </w:r>
      <w:r>
        <w:rPr>
          <w:rFonts w:ascii="Arial" w:hAnsi="Arial" w:cs="Arial"/>
          <w:sz w:val="14"/>
        </w:rPr>
        <w:t xml:space="preserve">(GC) </w:t>
      </w:r>
      <w:r w:rsidRPr="009A63F4">
        <w:rPr>
          <w:rFonts w:ascii="Arial" w:hAnsi="Arial" w:cs="Arial"/>
          <w:sz w:val="14"/>
        </w:rPr>
        <w:t>and liquid chromatography</w:t>
      </w:r>
      <w:r>
        <w:rPr>
          <w:rFonts w:ascii="Arial" w:hAnsi="Arial" w:cs="Arial"/>
          <w:sz w:val="14"/>
        </w:rPr>
        <w:t xml:space="preserve"> (LC)</w:t>
      </w:r>
      <w:r w:rsidRPr="009A63F4">
        <w:rPr>
          <w:rFonts w:ascii="Arial" w:hAnsi="Arial" w:cs="Arial"/>
          <w:sz w:val="14"/>
        </w:rPr>
        <w:t>.</w:t>
      </w:r>
    </w:p>
    <w:p w14:paraId="2A668C5B" w14:textId="4BDCF7FC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B57567" w:rsidRPr="00903BE1">
          <w:rPr>
            <w:rStyle w:val="Hipervnculo"/>
            <w:rFonts w:ascii="Arial"/>
            <w:sz w:val="14"/>
          </w:rPr>
          <w:t>antia.lestido@usc.es</w:t>
        </w:r>
      </w:hyperlink>
    </w:p>
    <w:p w14:paraId="3B23560D" w14:textId="77777777"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0172BA2" wp14:editId="63F18EE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9BD13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55A90624" w14:textId="77777777" w:rsidR="00AE3E37" w:rsidRDefault="00AE3E37">
      <w:pPr>
        <w:pStyle w:val="Textoindependiente"/>
        <w:rPr>
          <w:rFonts w:ascii="Arial"/>
          <w:sz w:val="20"/>
        </w:rPr>
      </w:pPr>
    </w:p>
    <w:p w14:paraId="505D6F9D" w14:textId="77777777" w:rsidR="00AE3E37" w:rsidRDefault="00AE3E37">
      <w:pPr>
        <w:pStyle w:val="Textoindependiente"/>
        <w:rPr>
          <w:rFonts w:ascii="Arial"/>
          <w:sz w:val="20"/>
        </w:rPr>
      </w:pPr>
    </w:p>
    <w:p w14:paraId="2B8FC064" w14:textId="77777777" w:rsidR="00AE3E37" w:rsidRDefault="00AE3E37">
      <w:pPr>
        <w:pStyle w:val="Textoindependiente"/>
        <w:spacing w:before="7"/>
        <w:rPr>
          <w:rFonts w:ascii="Arial"/>
          <w:sz w:val="29"/>
        </w:rPr>
      </w:pPr>
    </w:p>
    <w:p w14:paraId="44D47473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5843B7E" w14:textId="3F26A45D" w:rsidR="00AE3E37" w:rsidRPr="005532B9" w:rsidRDefault="00B17CEA" w:rsidP="009E4D21">
      <w:pPr>
        <w:autoSpaceDE w:val="0"/>
        <w:autoSpaceDN w:val="0"/>
        <w:adjustRightInd w:val="0"/>
        <w:jc w:val="both"/>
        <w:rPr>
          <w:rFonts w:ascii="Minion Pro"/>
          <w:sz w:val="24"/>
          <w:lang w:val="en-GB"/>
        </w:rPr>
        <w:sectPr w:rsidR="00AE3E37" w:rsidRPr="005532B9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F23FE5">
        <w:rPr>
          <w:lang w:val="en-GB"/>
        </w:rPr>
        <w:t xml:space="preserve"> </w:t>
      </w:r>
    </w:p>
    <w:p w14:paraId="5CEB10D6" w14:textId="77777777" w:rsidR="00AE3E37" w:rsidRPr="005532B9" w:rsidRDefault="00AE3E37">
      <w:pPr>
        <w:pStyle w:val="Textoindependiente"/>
        <w:spacing w:before="3"/>
        <w:rPr>
          <w:rFonts w:ascii="Minion Pro"/>
          <w:sz w:val="26"/>
          <w:lang w:val="en-GB"/>
        </w:rPr>
      </w:pPr>
    </w:p>
    <w:sectPr w:rsidR="00AE3E37" w:rsidRPr="005532B9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63CDBD" w14:textId="77777777" w:rsidR="00CA3145" w:rsidRDefault="00CA3145">
      <w:r>
        <w:separator/>
      </w:r>
    </w:p>
  </w:endnote>
  <w:endnote w:type="continuationSeparator" w:id="0">
    <w:p w14:paraId="41FE94EC" w14:textId="77777777" w:rsidR="00CA3145" w:rsidRDefault="00CA3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ECB7C" w14:textId="77777777"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0052384" wp14:editId="70306FF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2F7F02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328575A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05238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422F7F02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328575A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D436D76" wp14:editId="6ECAF38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91789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CCC98BE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436D76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3991789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CCC98BE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AEE3E16" wp14:editId="20D0D87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BCA308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1C723F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EE3E16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2ABCA308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1C723F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665A03" w14:textId="77777777" w:rsidR="00CA3145" w:rsidRDefault="00CA3145">
      <w:r>
        <w:separator/>
      </w:r>
    </w:p>
  </w:footnote>
  <w:footnote w:type="continuationSeparator" w:id="0">
    <w:p w14:paraId="769F22C8" w14:textId="77777777" w:rsidR="00CA3145" w:rsidRDefault="00CA3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66EC8E" w14:textId="77777777"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39C1057" wp14:editId="552BB5E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0E0F0D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9C105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070E0F0D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8EEC9D2" wp14:editId="4BC141C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FF2180" w14:textId="77777777"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EB502B8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EEC9D2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38FF2180" w14:textId="77777777"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EB502B8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E37"/>
    <w:rsid w:val="000D0122"/>
    <w:rsid w:val="000E2911"/>
    <w:rsid w:val="001263DF"/>
    <w:rsid w:val="00292ED9"/>
    <w:rsid w:val="00336368"/>
    <w:rsid w:val="003E1E3A"/>
    <w:rsid w:val="00404E5B"/>
    <w:rsid w:val="00414F7B"/>
    <w:rsid w:val="004355DC"/>
    <w:rsid w:val="004749B4"/>
    <w:rsid w:val="00494130"/>
    <w:rsid w:val="004F1884"/>
    <w:rsid w:val="004F3523"/>
    <w:rsid w:val="005532B9"/>
    <w:rsid w:val="00564A78"/>
    <w:rsid w:val="005816C6"/>
    <w:rsid w:val="005973B9"/>
    <w:rsid w:val="005B3A56"/>
    <w:rsid w:val="005E4D22"/>
    <w:rsid w:val="006060CE"/>
    <w:rsid w:val="0063497F"/>
    <w:rsid w:val="00636F82"/>
    <w:rsid w:val="00672DDC"/>
    <w:rsid w:val="006F41F5"/>
    <w:rsid w:val="00820C50"/>
    <w:rsid w:val="00873DF0"/>
    <w:rsid w:val="008756E6"/>
    <w:rsid w:val="008D2184"/>
    <w:rsid w:val="009257C4"/>
    <w:rsid w:val="009B2D44"/>
    <w:rsid w:val="009C6E7F"/>
    <w:rsid w:val="009E4D21"/>
    <w:rsid w:val="00A07E82"/>
    <w:rsid w:val="00A470FB"/>
    <w:rsid w:val="00A9710C"/>
    <w:rsid w:val="00AE3E37"/>
    <w:rsid w:val="00AF6AB6"/>
    <w:rsid w:val="00B17CEA"/>
    <w:rsid w:val="00B21A57"/>
    <w:rsid w:val="00B57567"/>
    <w:rsid w:val="00B70606"/>
    <w:rsid w:val="00BD37CB"/>
    <w:rsid w:val="00BE3255"/>
    <w:rsid w:val="00C33602"/>
    <w:rsid w:val="00C56E01"/>
    <w:rsid w:val="00C9760C"/>
    <w:rsid w:val="00CA3145"/>
    <w:rsid w:val="00CD6F55"/>
    <w:rsid w:val="00DA392A"/>
    <w:rsid w:val="00DE3104"/>
    <w:rsid w:val="00DF5AD4"/>
    <w:rsid w:val="00E46DD2"/>
    <w:rsid w:val="00ED2683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42A20D"/>
  <w15:docId w15:val="{DE3BAAAC-6D3D-44FD-9757-24CB82DEE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57567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C9760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9760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9760C"/>
    <w:rPr>
      <w:rFonts w:ascii="Tw Cen MT" w:eastAsia="Tw Cen MT" w:hAnsi="Tw Cen MT" w:cs="Tw Cen MT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9760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9760C"/>
    <w:rPr>
      <w:rFonts w:ascii="Tw Cen MT" w:eastAsia="Tw Cen MT" w:hAnsi="Tw Cen MT" w:cs="Tw Cen MT"/>
      <w:b/>
      <w:bCs/>
      <w:sz w:val="20"/>
      <w:szCs w:val="20"/>
    </w:rPr>
  </w:style>
  <w:style w:type="paragraph" w:styleId="Revisin">
    <w:name w:val="Revision"/>
    <w:hidden/>
    <w:uiPriority w:val="99"/>
    <w:semiHidden/>
    <w:rsid w:val="00C9760C"/>
    <w:pPr>
      <w:widowControl/>
    </w:pPr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tia.lestido@usc.es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3695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Antía</cp:lastModifiedBy>
  <cp:revision>2</cp:revision>
  <dcterms:created xsi:type="dcterms:W3CDTF">2019-10-31T15:29:00Z</dcterms:created>
  <dcterms:modified xsi:type="dcterms:W3CDTF">2019-10-31T15:29:00Z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