
<file path=[Content_Types].xml><?xml version="1.0" encoding="utf-8"?>
<Types xmlns="http://schemas.openxmlformats.org/package/2006/content-types">
  <Default Extension="xml" ContentType="application/xml"/>
  <Default Extension="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0BE453B" w14:textId="77777777" w:rsidR="00892C38" w:rsidRDefault="00892C38" w:rsidP="00892C38">
      <w:pPr>
        <w:widowControl w:val="0"/>
        <w:autoSpaceDE w:val="0"/>
        <w:autoSpaceDN w:val="0"/>
        <w:adjustRightInd w:val="0"/>
        <w:rPr>
          <w:rFonts w:ascii="TimesNewRomanPSMT" w:hAnsi="TimesNewRomanPSMT" w:cs="TimesNewRomanPSMT"/>
          <w:sz w:val="36"/>
          <w:szCs w:val="36"/>
        </w:rPr>
      </w:pPr>
      <w:r>
        <w:rPr>
          <w:rFonts w:ascii="TimesNewRomanPS-BoldMT" w:hAnsi="TimesNewRomanPS-BoldMT" w:cs="TimesNewRomanPS-BoldMT"/>
          <w:b/>
          <w:bCs/>
          <w:color w:val="222222"/>
          <w:sz w:val="36"/>
          <w:szCs w:val="36"/>
        </w:rPr>
        <w:t xml:space="preserve">Evaluation of </w:t>
      </w:r>
      <w:r>
        <w:rPr>
          <w:rFonts w:ascii="TimesNewRomanPS-BoldItalicMT" w:hAnsi="TimesNewRomanPS-BoldItalicMT" w:cs="TimesNewRomanPS-BoldItalicMT"/>
          <w:b/>
          <w:bCs/>
          <w:i/>
          <w:iCs/>
          <w:color w:val="222222"/>
          <w:sz w:val="36"/>
          <w:szCs w:val="36"/>
        </w:rPr>
        <w:t>in-vitro</w:t>
      </w:r>
      <w:r>
        <w:rPr>
          <w:rFonts w:ascii="TimesNewRomanPS-BoldMT" w:hAnsi="TimesNewRomanPS-BoldMT" w:cs="TimesNewRomanPS-BoldMT"/>
          <w:b/>
          <w:bCs/>
          <w:color w:val="222222"/>
          <w:sz w:val="36"/>
          <w:szCs w:val="36"/>
        </w:rPr>
        <w:t xml:space="preserve"> biofilm removal with 2% and 10% sodium hypochlorite</w:t>
      </w:r>
    </w:p>
    <w:p w14:paraId="4E72CEB6" w14:textId="06D9299E" w:rsidR="00892C38" w:rsidRDefault="00892C38" w:rsidP="00892C38">
      <w:pPr>
        <w:widowControl w:val="0"/>
        <w:autoSpaceDE w:val="0"/>
        <w:autoSpaceDN w:val="0"/>
        <w:adjustRightInd w:val="0"/>
        <w:rPr>
          <w:rFonts w:ascii="TimesNewRomanPSMT" w:hAnsi="TimesNewRomanPSMT" w:cs="TimesNewRomanPSMT"/>
          <w:sz w:val="36"/>
          <w:szCs w:val="36"/>
        </w:rPr>
      </w:pPr>
      <w:r>
        <w:rPr>
          <w:rFonts w:ascii="TimesNewRomanPSMT" w:hAnsi="TimesNewRomanPSMT" w:cs="TimesNewRomanPSMT"/>
          <w:sz w:val="36"/>
          <w:szCs w:val="36"/>
        </w:rPr>
        <w:t> </w:t>
      </w:r>
      <w:r w:rsidR="00D97314">
        <w:rPr>
          <w:rFonts w:ascii="TimesNewRomanPSMT" w:hAnsi="TimesNewRomanPSMT" w:cs="TimesNewRomanPSMT"/>
          <w:sz w:val="36"/>
          <w:szCs w:val="36"/>
        </w:rPr>
        <w:t>Rahmani</w:t>
      </w:r>
      <w:r w:rsidR="009A2C6D">
        <w:rPr>
          <w:rFonts w:ascii="TimesNewRomanPSMT" w:hAnsi="TimesNewRomanPSMT" w:cs="TimesNewRomanPSMT"/>
          <w:sz w:val="36"/>
          <w:szCs w:val="36"/>
        </w:rPr>
        <w:t>.s.z,Dolatkhah.h,Fattahi.s</w:t>
      </w:r>
    </w:p>
    <w:p w14:paraId="541E4AAB" w14:textId="77777777" w:rsidR="009A2C6D" w:rsidRDefault="009A2C6D" w:rsidP="00892C38">
      <w:pPr>
        <w:widowControl w:val="0"/>
        <w:autoSpaceDE w:val="0"/>
        <w:autoSpaceDN w:val="0"/>
        <w:adjustRightInd w:val="0"/>
        <w:rPr>
          <w:rFonts w:ascii="TimesNewRomanPSMT" w:hAnsi="TimesNewRomanPSMT" w:cs="TimesNewRomanPSMT"/>
          <w:sz w:val="36"/>
          <w:szCs w:val="36"/>
        </w:rPr>
      </w:pPr>
      <w:bookmarkStart w:id="0" w:name="_GoBack"/>
      <w:bookmarkEnd w:id="0"/>
    </w:p>
    <w:p w14:paraId="2570F3B6" w14:textId="77777777" w:rsidR="00892C38" w:rsidRDefault="00892C38" w:rsidP="00892C38">
      <w:pPr>
        <w:widowControl w:val="0"/>
        <w:autoSpaceDE w:val="0"/>
        <w:autoSpaceDN w:val="0"/>
        <w:adjustRightInd w:val="0"/>
        <w:rPr>
          <w:rFonts w:ascii="TimesNewRomanPSMT" w:hAnsi="TimesNewRomanPSMT" w:cs="TimesNewRomanPSMT"/>
          <w:sz w:val="36"/>
          <w:szCs w:val="36"/>
        </w:rPr>
      </w:pPr>
      <w:r>
        <w:rPr>
          <w:rFonts w:ascii="TimesNewRomanPS-BoldMT" w:hAnsi="TimesNewRomanPS-BoldMT" w:cs="TimesNewRomanPS-BoldMT"/>
          <w:b/>
          <w:bCs/>
          <w:color w:val="222222"/>
          <w:sz w:val="36"/>
          <w:szCs w:val="36"/>
        </w:rPr>
        <w:t>Introduction</w:t>
      </w:r>
    </w:p>
    <w:p w14:paraId="79424D8D" w14:textId="77777777" w:rsidR="00892C38" w:rsidRDefault="00892C38" w:rsidP="00892C38">
      <w:pPr>
        <w:widowControl w:val="0"/>
        <w:autoSpaceDE w:val="0"/>
        <w:autoSpaceDN w:val="0"/>
        <w:adjustRightInd w:val="0"/>
        <w:rPr>
          <w:rFonts w:ascii="TimesNewRomanPSMT" w:hAnsi="TimesNewRomanPSMT" w:cs="TimesNewRomanPSMT"/>
          <w:sz w:val="36"/>
          <w:szCs w:val="36"/>
        </w:rPr>
      </w:pPr>
      <w:r>
        <w:rPr>
          <w:rFonts w:ascii="TimesNewRomanPSMT" w:hAnsi="TimesNewRomanPSMT" w:cs="TimesNewRomanPSMT"/>
          <w:color w:val="222222"/>
          <w:sz w:val="36"/>
          <w:szCs w:val="36"/>
        </w:rPr>
        <w:t xml:space="preserve">Biofilms are communities of microorganisms attached to a surface and embedded in a matrix of polysaccharides and proteins forming a slimy layer. Oral bacteria have the capacity to form biofilms on distinct surfaces. Bacteria also form dense colonies on root canal walls and features like </w:t>
      </w:r>
      <w:proofErr w:type="spellStart"/>
      <w:r>
        <w:rPr>
          <w:rFonts w:ascii="TimesNewRomanPSMT" w:hAnsi="TimesNewRomanPSMT" w:cs="TimesNewRomanPSMT"/>
          <w:color w:val="222222"/>
          <w:sz w:val="36"/>
          <w:szCs w:val="36"/>
        </w:rPr>
        <w:t>isthmusses</w:t>
      </w:r>
      <w:proofErr w:type="spellEnd"/>
      <w:r>
        <w:rPr>
          <w:rFonts w:ascii="TimesNewRomanPSMT" w:hAnsi="TimesNewRomanPSMT" w:cs="TimesNewRomanPSMT"/>
          <w:color w:val="222222"/>
          <w:sz w:val="36"/>
          <w:szCs w:val="36"/>
        </w:rPr>
        <w:t xml:space="preserve"> and lateral canals. Microbial communities in biofilms are remarkably difficult to eradicate with antimicrobial agents for reasons that have yet to be adequately explained.</w:t>
      </w:r>
    </w:p>
    <w:p w14:paraId="7FA62283" w14:textId="77777777" w:rsidR="00892C38" w:rsidRDefault="00892C38" w:rsidP="00892C38">
      <w:pPr>
        <w:widowControl w:val="0"/>
        <w:autoSpaceDE w:val="0"/>
        <w:autoSpaceDN w:val="0"/>
        <w:adjustRightInd w:val="0"/>
        <w:rPr>
          <w:rFonts w:ascii="TimesNewRomanPSMT" w:hAnsi="TimesNewRomanPSMT" w:cs="TimesNewRomanPSMT"/>
          <w:sz w:val="36"/>
          <w:szCs w:val="36"/>
        </w:rPr>
      </w:pPr>
      <w:r>
        <w:rPr>
          <w:rFonts w:ascii="TimesNewRomanPSMT" w:hAnsi="TimesNewRomanPSMT" w:cs="TimesNewRomanPSMT"/>
          <w:color w:val="222222"/>
          <w:sz w:val="36"/>
          <w:szCs w:val="36"/>
        </w:rPr>
        <w:t>Studies have shown that sodium hypochlorite (</w:t>
      </w:r>
      <w:proofErr w:type="spellStart"/>
      <w:r>
        <w:rPr>
          <w:rFonts w:ascii="TimesNewRomanPSMT" w:hAnsi="TimesNewRomanPSMT" w:cs="TimesNewRomanPSMT"/>
          <w:color w:val="222222"/>
          <w:sz w:val="36"/>
          <w:szCs w:val="36"/>
        </w:rPr>
        <w:t>NaOCl</w:t>
      </w:r>
      <w:proofErr w:type="spellEnd"/>
      <w:r>
        <w:rPr>
          <w:rFonts w:ascii="TimesNewRomanPSMT" w:hAnsi="TimesNewRomanPSMT" w:cs="TimesNewRomanPSMT"/>
          <w:color w:val="222222"/>
          <w:sz w:val="36"/>
          <w:szCs w:val="36"/>
        </w:rPr>
        <w:t xml:space="preserve">) is the most effective anti-microbial </w:t>
      </w:r>
      <w:proofErr w:type="spellStart"/>
      <w:r>
        <w:rPr>
          <w:rFonts w:ascii="TimesNewRomanPSMT" w:hAnsi="TimesNewRomanPSMT" w:cs="TimesNewRomanPSMT"/>
          <w:color w:val="222222"/>
          <w:sz w:val="36"/>
          <w:szCs w:val="36"/>
        </w:rPr>
        <w:t>irrigant</w:t>
      </w:r>
      <w:proofErr w:type="spellEnd"/>
      <w:r>
        <w:rPr>
          <w:rFonts w:ascii="TimesNewRomanPSMT" w:hAnsi="TimesNewRomanPSMT" w:cs="TimesNewRomanPSMT"/>
          <w:color w:val="222222"/>
          <w:sz w:val="36"/>
          <w:szCs w:val="36"/>
        </w:rPr>
        <w:t xml:space="preserve"> used during </w:t>
      </w:r>
      <w:proofErr w:type="spellStart"/>
      <w:r>
        <w:rPr>
          <w:rFonts w:ascii="TimesNewRomanPSMT" w:hAnsi="TimesNewRomanPSMT" w:cs="TimesNewRomanPSMT"/>
          <w:color w:val="222222"/>
          <w:sz w:val="36"/>
          <w:szCs w:val="36"/>
        </w:rPr>
        <w:t>endodontic</w:t>
      </w:r>
      <w:proofErr w:type="spellEnd"/>
      <w:r>
        <w:rPr>
          <w:rFonts w:ascii="TimesNewRomanPSMT" w:hAnsi="TimesNewRomanPSMT" w:cs="TimesNewRomanPSMT"/>
          <w:color w:val="222222"/>
          <w:sz w:val="36"/>
          <w:szCs w:val="36"/>
        </w:rPr>
        <w:t xml:space="preserve"> treatment. </w:t>
      </w:r>
      <w:r>
        <w:rPr>
          <w:rFonts w:ascii="TimesNewRomanPSMT" w:hAnsi="TimesNewRomanPSMT" w:cs="TimesNewRomanPSMT"/>
          <w:sz w:val="36"/>
          <w:szCs w:val="36"/>
        </w:rPr>
        <w:t xml:space="preserve">The aim of this study is to evaluate the structure of biofilms and presence of EPS before and after the use of </w:t>
      </w:r>
      <w:proofErr w:type="spellStart"/>
      <w:r>
        <w:rPr>
          <w:rFonts w:ascii="TimesNewRomanPSMT" w:hAnsi="TimesNewRomanPSMT" w:cs="TimesNewRomanPSMT"/>
          <w:sz w:val="36"/>
          <w:szCs w:val="36"/>
        </w:rPr>
        <w:t>NaOCl</w:t>
      </w:r>
      <w:proofErr w:type="spellEnd"/>
      <w:r>
        <w:rPr>
          <w:rFonts w:ascii="TimesNewRomanPSMT" w:hAnsi="TimesNewRomanPSMT" w:cs="TimesNewRomanPSMT"/>
          <w:sz w:val="36"/>
          <w:szCs w:val="36"/>
        </w:rPr>
        <w:t xml:space="preserve"> 2% and 10%.</w:t>
      </w:r>
    </w:p>
    <w:p w14:paraId="23870B61" w14:textId="77777777" w:rsidR="00892C38" w:rsidRDefault="00892C38" w:rsidP="00892C38">
      <w:pPr>
        <w:widowControl w:val="0"/>
        <w:autoSpaceDE w:val="0"/>
        <w:autoSpaceDN w:val="0"/>
        <w:adjustRightInd w:val="0"/>
        <w:rPr>
          <w:rFonts w:ascii="TimesNewRomanPSMT" w:hAnsi="TimesNewRomanPSMT" w:cs="TimesNewRomanPSMT"/>
          <w:sz w:val="36"/>
          <w:szCs w:val="36"/>
        </w:rPr>
      </w:pPr>
      <w:r>
        <w:rPr>
          <w:rFonts w:ascii="TimesNewRomanPSMT" w:hAnsi="TimesNewRomanPSMT" w:cs="TimesNewRomanPSMT"/>
          <w:sz w:val="36"/>
          <w:szCs w:val="36"/>
        </w:rPr>
        <w:t> </w:t>
      </w:r>
    </w:p>
    <w:p w14:paraId="0ECC5199" w14:textId="77777777" w:rsidR="00892C38" w:rsidRDefault="00892C38" w:rsidP="00892C38">
      <w:pPr>
        <w:widowControl w:val="0"/>
        <w:autoSpaceDE w:val="0"/>
        <w:autoSpaceDN w:val="0"/>
        <w:adjustRightInd w:val="0"/>
        <w:rPr>
          <w:rFonts w:ascii="TimesNewRomanPSMT" w:hAnsi="TimesNewRomanPSMT" w:cs="TimesNewRomanPSMT"/>
          <w:sz w:val="36"/>
          <w:szCs w:val="36"/>
        </w:rPr>
      </w:pPr>
      <w:r>
        <w:rPr>
          <w:rFonts w:ascii="TimesNewRomanPS-BoldMT" w:hAnsi="TimesNewRomanPS-BoldMT" w:cs="TimesNewRomanPS-BoldMT"/>
          <w:b/>
          <w:bCs/>
          <w:sz w:val="36"/>
          <w:szCs w:val="36"/>
        </w:rPr>
        <w:t>Materials and methods</w:t>
      </w:r>
    </w:p>
    <w:p w14:paraId="4F630763" w14:textId="77777777" w:rsidR="00892C38" w:rsidRDefault="00892C38" w:rsidP="00892C38">
      <w:pPr>
        <w:widowControl w:val="0"/>
        <w:autoSpaceDE w:val="0"/>
        <w:autoSpaceDN w:val="0"/>
        <w:adjustRightInd w:val="0"/>
        <w:rPr>
          <w:rFonts w:ascii="TimesNewRomanPSMT" w:hAnsi="TimesNewRomanPSMT" w:cs="TimesNewRomanPSMT"/>
          <w:sz w:val="36"/>
          <w:szCs w:val="36"/>
        </w:rPr>
      </w:pPr>
      <w:r>
        <w:rPr>
          <w:rFonts w:ascii="TimesNewRomanPSMT" w:hAnsi="TimesNewRomanPSMT" w:cs="TimesNewRomanPSMT"/>
          <w:sz w:val="36"/>
          <w:szCs w:val="36"/>
        </w:rPr>
        <w:t xml:space="preserve">Dual species biofilms of Streptococcus </w:t>
      </w:r>
      <w:proofErr w:type="spellStart"/>
      <w:r>
        <w:rPr>
          <w:rFonts w:ascii="TimesNewRomanPSMT" w:hAnsi="TimesNewRomanPSMT" w:cs="TimesNewRomanPSMT"/>
          <w:sz w:val="36"/>
          <w:szCs w:val="36"/>
        </w:rPr>
        <w:t>oralis</w:t>
      </w:r>
      <w:proofErr w:type="spellEnd"/>
      <w:r>
        <w:rPr>
          <w:rFonts w:ascii="TimesNewRomanPSMT" w:hAnsi="TimesNewRomanPSMT" w:cs="TimesNewRomanPSMT"/>
          <w:sz w:val="36"/>
          <w:szCs w:val="36"/>
        </w:rPr>
        <w:t xml:space="preserve"> J22 and </w:t>
      </w:r>
      <w:proofErr w:type="spellStart"/>
      <w:r>
        <w:rPr>
          <w:rFonts w:ascii="TimesNewRomanPSMT" w:hAnsi="TimesNewRomanPSMT" w:cs="TimesNewRomanPSMT"/>
          <w:sz w:val="36"/>
          <w:szCs w:val="36"/>
        </w:rPr>
        <w:t>Actinomyces</w:t>
      </w:r>
      <w:proofErr w:type="spellEnd"/>
      <w:r>
        <w:rPr>
          <w:rFonts w:ascii="TimesNewRomanPSMT" w:hAnsi="TimesNewRomanPSMT" w:cs="TimesNewRomanPSMT"/>
          <w:sz w:val="36"/>
          <w:szCs w:val="36"/>
        </w:rPr>
        <w:t xml:space="preserve"> </w:t>
      </w:r>
      <w:proofErr w:type="spellStart"/>
      <w:r>
        <w:rPr>
          <w:rFonts w:ascii="TimesNewRomanPSMT" w:hAnsi="TimesNewRomanPSMT" w:cs="TimesNewRomanPSMT"/>
          <w:sz w:val="36"/>
          <w:szCs w:val="36"/>
        </w:rPr>
        <w:t>naeslundii</w:t>
      </w:r>
      <w:proofErr w:type="spellEnd"/>
      <w:r>
        <w:rPr>
          <w:rFonts w:ascii="TimesNewRomanPSMT" w:hAnsi="TimesNewRomanPSMT" w:cs="TimesNewRomanPSMT"/>
          <w:sz w:val="36"/>
          <w:szCs w:val="36"/>
        </w:rPr>
        <w:t xml:space="preserve"> T14VJ1 were grown under statical conditions and in a constant depth film fermentor (CDFF). Biofilms grown in the CDFF mimic better the basal layer of an oral </w:t>
      </w:r>
      <w:r>
        <w:rPr>
          <w:rFonts w:ascii="TimesNewRomanPS-ItalicMT" w:hAnsi="TimesNewRomanPS-ItalicMT" w:cs="TimesNewRomanPS-ItalicMT"/>
          <w:i/>
          <w:iCs/>
          <w:sz w:val="36"/>
          <w:szCs w:val="36"/>
        </w:rPr>
        <w:t>in vivo</w:t>
      </w:r>
      <w:r>
        <w:rPr>
          <w:rFonts w:ascii="TimesNewRomanPSMT" w:hAnsi="TimesNewRomanPSMT" w:cs="TimesNewRomanPSMT"/>
          <w:sz w:val="36"/>
          <w:szCs w:val="36"/>
        </w:rPr>
        <w:t xml:space="preserve"> biofilm. For the statical conditions, a confined space was created over saliva coated dentin discs with supply of 20ml of modified BHI each 24h for 4 and 10 days. For the CDFF, saliva coated hydroxyapatite discs biofilm was grown for 96 h at 37uC under continuous supply modified BHI at a rate of 45 ml/h. The system was equipped with 15 sample holders and each sample holder contained 5 saliva coated hydroxyapatite discs, </w:t>
      </w:r>
      <w:r>
        <w:rPr>
          <w:rFonts w:ascii="TimesNewRomanPSMT" w:hAnsi="TimesNewRomanPSMT" w:cs="TimesNewRomanPSMT"/>
          <w:sz w:val="36"/>
          <w:szCs w:val="36"/>
        </w:rPr>
        <w:lastRenderedPageBreak/>
        <w:t>recessed to a depth of 250 mm</w:t>
      </w:r>
      <w:r>
        <w:rPr>
          <w:rFonts w:ascii="TimesNewRomanPS-BoldMT" w:hAnsi="TimesNewRomanPS-BoldMT" w:cs="TimesNewRomanPS-BoldMT"/>
          <w:b/>
          <w:bCs/>
          <w:sz w:val="36"/>
          <w:szCs w:val="36"/>
        </w:rPr>
        <w:t xml:space="preserve">. </w:t>
      </w:r>
      <w:r>
        <w:rPr>
          <w:rFonts w:ascii="TimesNewRomanPSMT" w:hAnsi="TimesNewRomanPSMT" w:cs="TimesNewRomanPSMT"/>
          <w:color w:val="222222"/>
          <w:sz w:val="36"/>
          <w:szCs w:val="36"/>
        </w:rPr>
        <w:t xml:space="preserve">After growing the biofilms </w:t>
      </w:r>
      <w:proofErr w:type="spellStart"/>
      <w:r>
        <w:rPr>
          <w:rFonts w:ascii="TimesNewRomanPSMT" w:hAnsi="TimesNewRomanPSMT" w:cs="TimesNewRomanPSMT"/>
          <w:color w:val="222222"/>
          <w:sz w:val="36"/>
          <w:szCs w:val="36"/>
        </w:rPr>
        <w:t>NaOCl</w:t>
      </w:r>
      <w:proofErr w:type="spellEnd"/>
      <w:r>
        <w:rPr>
          <w:rFonts w:ascii="TimesNewRomanPSMT" w:hAnsi="TimesNewRomanPSMT" w:cs="TimesNewRomanPSMT"/>
          <w:color w:val="222222"/>
          <w:sz w:val="36"/>
          <w:szCs w:val="36"/>
        </w:rPr>
        <w:t xml:space="preserve"> 2% and 10% were applied for 60s and 300s for removing the biofilm.</w:t>
      </w:r>
      <w:r>
        <w:rPr>
          <w:rFonts w:ascii="TimesNewRomanPS-BoldMT" w:hAnsi="TimesNewRomanPS-BoldMT" w:cs="TimesNewRomanPS-BoldMT"/>
          <w:b/>
          <w:bCs/>
          <w:sz w:val="36"/>
          <w:szCs w:val="36"/>
        </w:rPr>
        <w:t xml:space="preserve"> </w:t>
      </w:r>
      <w:r>
        <w:rPr>
          <w:rFonts w:ascii="TimesNewRomanPSMT" w:hAnsi="TimesNewRomanPSMT" w:cs="TimesNewRomanPSMT"/>
          <w:sz w:val="36"/>
          <w:szCs w:val="36"/>
        </w:rPr>
        <w:t xml:space="preserve">Optical coherence tomography (OCT) was used for high-resolution, real-time imaging of a three-dimensional structure of the biofilm. Confocal laser scanning microscopy (CLSM) was used to </w:t>
      </w:r>
      <w:proofErr w:type="spellStart"/>
      <w:r>
        <w:rPr>
          <w:rFonts w:ascii="TimesNewRomanPSMT" w:hAnsi="TimesNewRomanPSMT" w:cs="TimesNewRomanPSMT"/>
          <w:sz w:val="36"/>
          <w:szCs w:val="36"/>
        </w:rPr>
        <w:t>vizualise</w:t>
      </w:r>
      <w:proofErr w:type="spellEnd"/>
      <w:r>
        <w:rPr>
          <w:rFonts w:ascii="TimesNewRomanPSMT" w:hAnsi="TimesNewRomanPSMT" w:cs="TimesNewRomanPSMT"/>
          <w:sz w:val="36"/>
          <w:szCs w:val="36"/>
        </w:rPr>
        <w:t xml:space="preserve"> the biofilm matrix, structure and condition of bacteria (LIVE/DEAD staining).</w:t>
      </w:r>
    </w:p>
    <w:p w14:paraId="251F52A2" w14:textId="77777777" w:rsidR="00892C38" w:rsidRDefault="00892C38" w:rsidP="00892C38">
      <w:pPr>
        <w:widowControl w:val="0"/>
        <w:autoSpaceDE w:val="0"/>
        <w:autoSpaceDN w:val="0"/>
        <w:adjustRightInd w:val="0"/>
        <w:rPr>
          <w:rFonts w:ascii="TimesNewRomanPSMT" w:hAnsi="TimesNewRomanPSMT" w:cs="TimesNewRomanPSMT"/>
          <w:sz w:val="36"/>
          <w:szCs w:val="36"/>
        </w:rPr>
      </w:pPr>
      <w:r>
        <w:rPr>
          <w:rFonts w:ascii="TimesNewRomanPSMT" w:hAnsi="TimesNewRomanPSMT" w:cs="TimesNewRomanPSMT"/>
          <w:sz w:val="36"/>
          <w:szCs w:val="36"/>
        </w:rPr>
        <w:t> </w:t>
      </w:r>
    </w:p>
    <w:p w14:paraId="3DB1D962" w14:textId="77777777" w:rsidR="00892C38" w:rsidRDefault="00892C38" w:rsidP="00892C38">
      <w:pPr>
        <w:widowControl w:val="0"/>
        <w:autoSpaceDE w:val="0"/>
        <w:autoSpaceDN w:val="0"/>
        <w:adjustRightInd w:val="0"/>
        <w:rPr>
          <w:rFonts w:ascii="TimesNewRomanPSMT" w:hAnsi="TimesNewRomanPSMT" w:cs="TimesNewRomanPSMT"/>
          <w:sz w:val="36"/>
          <w:szCs w:val="36"/>
        </w:rPr>
      </w:pPr>
      <w:r>
        <w:rPr>
          <w:rFonts w:ascii="TimesNewRomanPS-BoldMT" w:hAnsi="TimesNewRomanPS-BoldMT" w:cs="TimesNewRomanPS-BoldMT"/>
          <w:b/>
          <w:bCs/>
          <w:sz w:val="36"/>
          <w:szCs w:val="36"/>
        </w:rPr>
        <w:t xml:space="preserve"> results</w:t>
      </w:r>
    </w:p>
    <w:p w14:paraId="6AED57D8" w14:textId="77777777" w:rsidR="00892C38" w:rsidRDefault="00892C38" w:rsidP="00892C38">
      <w:pPr>
        <w:widowControl w:val="0"/>
        <w:autoSpaceDE w:val="0"/>
        <w:autoSpaceDN w:val="0"/>
        <w:adjustRightInd w:val="0"/>
        <w:rPr>
          <w:rFonts w:ascii="TimesNewRomanPSMT" w:hAnsi="TimesNewRomanPSMT" w:cs="TimesNewRomanPSMT"/>
          <w:color w:val="131413"/>
          <w:sz w:val="36"/>
          <w:szCs w:val="36"/>
        </w:rPr>
      </w:pPr>
      <w:r>
        <w:rPr>
          <w:rFonts w:ascii="TimesNewRomanPSMT" w:hAnsi="TimesNewRomanPSMT" w:cs="TimesNewRomanPSMT"/>
          <w:color w:val="131413"/>
          <w:sz w:val="36"/>
          <w:szCs w:val="36"/>
        </w:rPr>
        <w:t xml:space="preserve">In the statical biofilm group, OCT images showed reduction of biofilm thickness after applying the </w:t>
      </w:r>
      <w:proofErr w:type="spellStart"/>
      <w:r>
        <w:rPr>
          <w:rFonts w:ascii="TimesNewRomanPSMT" w:hAnsi="TimesNewRomanPSMT" w:cs="TimesNewRomanPSMT"/>
          <w:color w:val="131413"/>
          <w:sz w:val="36"/>
          <w:szCs w:val="36"/>
        </w:rPr>
        <w:t>NaOCl</w:t>
      </w:r>
      <w:proofErr w:type="spellEnd"/>
      <w:r>
        <w:rPr>
          <w:rFonts w:ascii="TimesNewRomanPSMT" w:hAnsi="TimesNewRomanPSMT" w:cs="TimesNewRomanPSMT"/>
          <w:color w:val="131413"/>
          <w:sz w:val="36"/>
          <w:szCs w:val="36"/>
        </w:rPr>
        <w:t xml:space="preserve"> 2% and 10% and there was a very fluffy structure observable. In the CDFF group, OCT images showed bubble formation in the biofilm after using </w:t>
      </w:r>
      <w:proofErr w:type="spellStart"/>
      <w:r>
        <w:rPr>
          <w:rFonts w:ascii="TimesNewRomanPSMT" w:hAnsi="TimesNewRomanPSMT" w:cs="TimesNewRomanPSMT"/>
          <w:color w:val="131413"/>
          <w:sz w:val="36"/>
          <w:szCs w:val="36"/>
        </w:rPr>
        <w:t>NaOCl</w:t>
      </w:r>
      <w:proofErr w:type="spellEnd"/>
      <w:r>
        <w:rPr>
          <w:rFonts w:ascii="TimesNewRomanPSMT" w:hAnsi="TimesNewRomanPSMT" w:cs="TimesNewRomanPSMT"/>
          <w:color w:val="131413"/>
          <w:sz w:val="36"/>
          <w:szCs w:val="36"/>
        </w:rPr>
        <w:t xml:space="preserve"> 10%, but the </w:t>
      </w:r>
      <w:proofErr w:type="spellStart"/>
      <w:r>
        <w:rPr>
          <w:rFonts w:ascii="TimesNewRomanPSMT" w:hAnsi="TimesNewRomanPSMT" w:cs="TimesNewRomanPSMT"/>
          <w:color w:val="131413"/>
          <w:sz w:val="36"/>
          <w:szCs w:val="36"/>
        </w:rPr>
        <w:t>irrigant</w:t>
      </w:r>
      <w:proofErr w:type="spellEnd"/>
      <w:r>
        <w:rPr>
          <w:rFonts w:ascii="TimesNewRomanPSMT" w:hAnsi="TimesNewRomanPSMT" w:cs="TimesNewRomanPSMT"/>
          <w:color w:val="131413"/>
          <w:sz w:val="36"/>
          <w:szCs w:val="36"/>
        </w:rPr>
        <w:t xml:space="preserve"> did not reduce the thickness of the biofilm or on its consistency. The bubble formation was also observed in CLSM images. The CLSM showed reduction of the biofilm structure but mostly living bacteria were found in the remaining biofilm.</w:t>
      </w:r>
    </w:p>
    <w:p w14:paraId="2E4FF21B" w14:textId="77777777" w:rsidR="00892C38" w:rsidRDefault="00892C38" w:rsidP="00892C38">
      <w:pPr>
        <w:widowControl w:val="0"/>
        <w:autoSpaceDE w:val="0"/>
        <w:autoSpaceDN w:val="0"/>
        <w:adjustRightInd w:val="0"/>
        <w:rPr>
          <w:rFonts w:ascii="TimesNewRomanPSMT" w:hAnsi="TimesNewRomanPSMT" w:cs="TimesNewRomanPSMT"/>
          <w:color w:val="131413"/>
          <w:sz w:val="36"/>
          <w:szCs w:val="36"/>
        </w:rPr>
      </w:pPr>
    </w:p>
    <w:p w14:paraId="4C07BA5E" w14:textId="77777777" w:rsidR="00892C38" w:rsidRPr="00A2774B" w:rsidRDefault="00892C38" w:rsidP="00892C38">
      <w:pPr>
        <w:widowControl w:val="0"/>
        <w:autoSpaceDE w:val="0"/>
        <w:autoSpaceDN w:val="0"/>
        <w:adjustRightInd w:val="0"/>
        <w:rPr>
          <w:rFonts w:ascii="TimesNewRomanPSMT" w:hAnsi="TimesNewRomanPSMT" w:cs="TimesNewRomanPSMT"/>
          <w:b/>
          <w:color w:val="131413"/>
          <w:sz w:val="36"/>
          <w:szCs w:val="36"/>
        </w:rPr>
      </w:pPr>
      <w:r w:rsidRPr="00A2774B">
        <w:rPr>
          <w:rFonts w:ascii="TimesNewRomanPSMT" w:hAnsi="TimesNewRomanPSMT" w:cs="TimesNewRomanPSMT"/>
          <w:b/>
          <w:color w:val="131413"/>
          <w:sz w:val="36"/>
          <w:szCs w:val="36"/>
        </w:rPr>
        <w:t>Conclusion</w:t>
      </w:r>
    </w:p>
    <w:p w14:paraId="5F8589B4" w14:textId="426A5585" w:rsidR="00892C38" w:rsidRDefault="00892C38" w:rsidP="00892C38">
      <w:pPr>
        <w:widowControl w:val="0"/>
        <w:autoSpaceDE w:val="0"/>
        <w:autoSpaceDN w:val="0"/>
        <w:adjustRightInd w:val="0"/>
        <w:rPr>
          <w:rFonts w:ascii="TimesNewRomanPSMT" w:hAnsi="TimesNewRomanPSMT" w:cs="TimesNewRomanPSMT"/>
          <w:sz w:val="36"/>
          <w:szCs w:val="36"/>
        </w:rPr>
      </w:pPr>
      <w:r>
        <w:rPr>
          <w:rFonts w:ascii="TimesNewRomanPSMT" w:hAnsi="TimesNewRomanPSMT" w:cs="TimesNewRomanPSMT"/>
          <w:color w:val="131413"/>
          <w:sz w:val="36"/>
          <w:szCs w:val="36"/>
        </w:rPr>
        <w:t xml:space="preserve">According to our study we need to use more efficient </w:t>
      </w:r>
      <w:proofErr w:type="spellStart"/>
      <w:r>
        <w:rPr>
          <w:rFonts w:ascii="TimesNewRomanPSMT" w:hAnsi="TimesNewRomanPSMT" w:cs="TimesNewRomanPSMT"/>
          <w:color w:val="131413"/>
          <w:sz w:val="36"/>
          <w:szCs w:val="36"/>
        </w:rPr>
        <w:t>irrigants</w:t>
      </w:r>
      <w:proofErr w:type="spellEnd"/>
      <w:r>
        <w:rPr>
          <w:rFonts w:ascii="TimesNewRomanPSMT" w:hAnsi="TimesNewRomanPSMT" w:cs="TimesNewRomanPSMT"/>
          <w:color w:val="131413"/>
          <w:sz w:val="36"/>
          <w:szCs w:val="36"/>
        </w:rPr>
        <w:t xml:space="preserve"> in more period of time to achieve our goal of cl</w:t>
      </w:r>
      <w:r w:rsidR="00A2774B">
        <w:rPr>
          <w:rFonts w:ascii="TimesNewRomanPSMT" w:hAnsi="TimesNewRomanPSMT" w:cs="TimesNewRomanPSMT"/>
          <w:color w:val="131413"/>
          <w:sz w:val="36"/>
          <w:szCs w:val="36"/>
        </w:rPr>
        <w:t>eansing the matrix</w:t>
      </w:r>
    </w:p>
    <w:p w14:paraId="2100AB43" w14:textId="77777777" w:rsidR="00892C38" w:rsidRDefault="00892C38" w:rsidP="00892C38">
      <w:pPr>
        <w:widowControl w:val="0"/>
        <w:autoSpaceDE w:val="0"/>
        <w:autoSpaceDN w:val="0"/>
        <w:adjustRightInd w:val="0"/>
        <w:rPr>
          <w:rFonts w:ascii="TimesNewRomanPSMT" w:hAnsi="TimesNewRomanPSMT" w:cs="TimesNewRomanPSMT"/>
          <w:sz w:val="36"/>
          <w:szCs w:val="36"/>
        </w:rPr>
      </w:pPr>
      <w:r>
        <w:rPr>
          <w:rFonts w:ascii="TimesNewRomanPSMT" w:hAnsi="TimesNewRomanPSMT" w:cs="TimesNewRomanPSMT"/>
          <w:sz w:val="36"/>
          <w:szCs w:val="36"/>
        </w:rPr>
        <w:t> </w:t>
      </w:r>
    </w:p>
    <w:p w14:paraId="31B70042" w14:textId="77777777" w:rsidR="00892C38" w:rsidRDefault="00892C38" w:rsidP="00892C38">
      <w:r>
        <w:rPr>
          <w:rFonts w:ascii="TimesNewRomanPS-BoldMT" w:hAnsi="TimesNewRomanPS-BoldMT" w:cs="TimesNewRomanPS-BoldMT"/>
          <w:b/>
          <w:bCs/>
          <w:sz w:val="36"/>
          <w:szCs w:val="36"/>
        </w:rPr>
        <w:t>Keywords</w:t>
      </w:r>
      <w:r>
        <w:rPr>
          <w:rFonts w:ascii="TimesNewRomanPSMT" w:hAnsi="TimesNewRomanPSMT" w:cs="TimesNewRomanPSMT"/>
          <w:sz w:val="36"/>
          <w:szCs w:val="36"/>
        </w:rPr>
        <w:t>: Biofilm,</w:t>
      </w:r>
      <w:r>
        <w:rPr>
          <w:rFonts w:ascii="TimesNewRomanPSMT" w:hAnsi="TimesNewRomanPSMT" w:cs="TimesNewRomanPSMT"/>
          <w:color w:val="222222"/>
          <w:sz w:val="36"/>
          <w:szCs w:val="36"/>
        </w:rPr>
        <w:t xml:space="preserve"> Sodium Hypochlorite</w:t>
      </w:r>
      <w:r>
        <w:rPr>
          <w:rFonts w:ascii="TimesNewRomanPSMT" w:hAnsi="TimesNewRomanPSMT" w:cs="TimesNewRomanPSMT"/>
          <w:sz w:val="36"/>
          <w:szCs w:val="36"/>
        </w:rPr>
        <w:t xml:space="preserve">, </w:t>
      </w:r>
      <w:proofErr w:type="spellStart"/>
      <w:r>
        <w:rPr>
          <w:rFonts w:ascii="TimesNewRomanPSMT" w:hAnsi="TimesNewRomanPSMT" w:cs="TimesNewRomanPSMT"/>
          <w:sz w:val="36"/>
          <w:szCs w:val="36"/>
        </w:rPr>
        <w:t>Intracanal</w:t>
      </w:r>
      <w:proofErr w:type="spellEnd"/>
      <w:r>
        <w:rPr>
          <w:rFonts w:ascii="TimesNewRomanPSMT" w:hAnsi="TimesNewRomanPSMT" w:cs="TimesNewRomanPSMT"/>
          <w:sz w:val="36"/>
          <w:szCs w:val="36"/>
        </w:rPr>
        <w:t xml:space="preserve"> </w:t>
      </w:r>
      <w:proofErr w:type="spellStart"/>
      <w:r>
        <w:rPr>
          <w:rFonts w:ascii="TimesNewRomanPSMT" w:hAnsi="TimesNewRomanPSMT" w:cs="TimesNewRomanPSMT"/>
          <w:sz w:val="36"/>
          <w:szCs w:val="36"/>
        </w:rPr>
        <w:t>Irrigant</w:t>
      </w:r>
      <w:proofErr w:type="spellEnd"/>
    </w:p>
    <w:sectPr w:rsidR="00892C3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auto"/>
    <w:pitch w:val="variable"/>
    <w:sig w:usb0="E00002FF" w:usb1="4000ACFF" w:usb2="00000001" w:usb3="00000000" w:csb0="0000019F" w:csb1="00000000"/>
  </w:font>
  <w:font w:name="ＭＳ 明朝">
    <w:charset w:val="80"/>
    <w:family w:val="auto"/>
    <w:pitch w:val="variable"/>
    <w:sig w:usb0="E00002FF" w:usb1="6AC7FDFB" w:usb2="08000012" w:usb3="00000000" w:csb0="0002009F" w:csb1="00000000"/>
  </w:font>
  <w:font w:name="Times New Roman">
    <w:panose1 w:val="02020603050405020304"/>
    <w:charset w:val="00"/>
    <w:family w:val="auto"/>
    <w:pitch w:val="variable"/>
    <w:sig w:usb0="E0002AEF" w:usb1="C0007841" w:usb2="00000009" w:usb3="00000000" w:csb0="000001FF" w:csb1="00000000"/>
  </w:font>
  <w:font w:name="TimesNewRomanPSMT">
    <w:charset w:val="00"/>
    <w:family w:val="auto"/>
    <w:pitch w:val="variable"/>
    <w:sig w:usb0="E0002AEF" w:usb1="C0007841" w:usb2="00000009" w:usb3="00000000" w:csb0="000001FF" w:csb1="00000000"/>
  </w:font>
  <w:font w:name="TimesNewRomanPS-BoldMT">
    <w:charset w:val="00"/>
    <w:family w:val="auto"/>
    <w:pitch w:val="variable"/>
    <w:sig w:usb0="E0002AEF" w:usb1="C0007841" w:usb2="00000009" w:usb3="00000000" w:csb0="000001FF" w:csb1="00000000"/>
  </w:font>
  <w:font w:name="TimesNewRomanPS-BoldItalicMT">
    <w:charset w:val="00"/>
    <w:family w:val="auto"/>
    <w:pitch w:val="variable"/>
    <w:sig w:usb0="E0000AFF" w:usb1="00007843" w:usb2="00000001" w:usb3="00000000" w:csb0="000001BF" w:csb1="00000000"/>
  </w:font>
  <w:font w:name="TimesNewRomanPS-ItalicMT">
    <w:charset w:val="00"/>
    <w:family w:val="auto"/>
    <w:pitch w:val="variable"/>
    <w:sig w:usb0="E0000AFF" w:usb1="00007843" w:usb2="00000001" w:usb3="00000000" w:csb0="000001BF" w:csb1="00000000"/>
  </w:font>
  <w:font w:name="Arial">
    <w:panose1 w:val="00000000000000000000"/>
    <w:charset w:val="4D"/>
    <w:family w:val="swiss"/>
    <w:notTrueType/>
    <w:pitch w:val="variable"/>
    <w:sig w:usb0="00000003" w:usb1="00000000" w:usb2="00000000" w:usb3="00000000" w:csb0="00000001" w:csb1="00000000"/>
  </w:font>
  <w:font w:name="ＭＳ ゴシック">
    <w:charset w:val="80"/>
    <w:family w:val="auto"/>
    <w:pitch w:val="variable"/>
    <w:sig w:usb0="E00002FF" w:usb1="6AC7FDFB" w:usb2="00000012" w:usb3="00000000" w:csb0="0002009F" w:csb1="00000000"/>
  </w:font>
  <w:font w:name="Calibri Light">
    <w:panose1 w:val="020F0302020204030204"/>
    <w:charset w:val="00"/>
    <w:family w:val="auto"/>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61"/>
  <w:proofState w:spelling="clean"/>
  <w:defaultTabStop w:val="720"/>
  <w:characterSpacingControl w:val="doNotCompress"/>
  <w:savePreviewPicture/>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92C38"/>
    <w:rsid w:val="000F4F5D"/>
    <w:rsid w:val="00892C38"/>
    <w:rsid w:val="009A2C6D"/>
    <w:rsid w:val="00A2774B"/>
    <w:rsid w:val="00D97314"/>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decimalSymbol w:val="."/>
  <w:listSeparator w:val=","/>
  <w14:docId w14:val="139D67F0"/>
  <w14:defaultImageDpi w14:val="300"/>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80">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allowPNG/>
  <w:doNotSaveAsSingleFile/>
  <w:pixelsPerInch w:val="96"/>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4" Type="http://schemas.openxmlformats.org/officeDocument/2006/relationships/fontTable" Target="fontTable.xml"/><Relationship Id="rId5" Type="http://schemas.openxmlformats.org/officeDocument/2006/relationships/theme" Target="theme/theme1.xml"/><Relationship Id="rId1" Type="http://schemas.openxmlformats.org/officeDocument/2006/relationships/styles" Target="styles.xml"/><Relationship Id="rId2"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2</Pages>
  <Words>399</Words>
  <Characters>2280</Characters>
  <Application>Microsoft Macintosh Word</Application>
  <DocSecurity>0</DocSecurity>
  <Lines>19</Lines>
  <Paragraphs>5</Paragraphs>
  <ScaleCrop>false</ScaleCrop>
  <LinksUpToDate>false</LinksUpToDate>
  <CharactersWithSpaces>2674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zahra rahmani</dc:creator>
  <cp:keywords/>
  <dc:description/>
  <cp:lastModifiedBy>zahra rahmani</cp:lastModifiedBy>
  <cp:revision>2</cp:revision>
  <dcterms:created xsi:type="dcterms:W3CDTF">2016-05-21T08:34:00Z</dcterms:created>
  <dcterms:modified xsi:type="dcterms:W3CDTF">2016-05-21T08:34:00Z</dcterms:modified>
</cp:coreProperties>
</file>