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EA582" w14:textId="77777777" w:rsidR="00F2234B" w:rsidRPr="00F2234B" w:rsidRDefault="00F2234B" w:rsidP="00F2234B">
      <w:pPr>
        <w:widowControl w:val="0"/>
        <w:autoSpaceDE w:val="0"/>
        <w:autoSpaceDN w:val="0"/>
        <w:adjustRightInd w:val="0"/>
        <w:jc w:val="center"/>
        <w:rPr>
          <w:rFonts w:ascii="Helvetica-Bold" w:hAnsi="Helvetica-Bold" w:cs="Helvetica-Bold"/>
          <w:b/>
          <w:bCs/>
          <w:sz w:val="28"/>
          <w:szCs w:val="28"/>
        </w:rPr>
      </w:pPr>
      <w:r w:rsidRPr="00F2234B">
        <w:rPr>
          <w:rFonts w:ascii="Helvetica-Bold" w:hAnsi="Helvetica-Bold" w:cs="Helvetica-Bold"/>
          <w:b/>
          <w:bCs/>
          <w:sz w:val="28"/>
          <w:szCs w:val="28"/>
        </w:rPr>
        <w:t>Effect of Tannic Acid on Bond Strength of Etch</w:t>
      </w:r>
    </w:p>
    <w:p w14:paraId="4A00289E" w14:textId="77777777" w:rsidR="00F2234B" w:rsidRPr="00F2234B" w:rsidRDefault="00F2234B" w:rsidP="00F2234B">
      <w:pPr>
        <w:widowControl w:val="0"/>
        <w:autoSpaceDE w:val="0"/>
        <w:autoSpaceDN w:val="0"/>
        <w:adjustRightInd w:val="0"/>
        <w:jc w:val="center"/>
        <w:rPr>
          <w:rFonts w:ascii="Helvetica-Bold" w:hAnsi="Helvetica-Bold" w:cs="Helvetica-Bold"/>
          <w:b/>
          <w:bCs/>
          <w:sz w:val="28"/>
          <w:szCs w:val="28"/>
        </w:rPr>
      </w:pPr>
      <w:proofErr w:type="gramStart"/>
      <w:r w:rsidRPr="00F2234B">
        <w:rPr>
          <w:rFonts w:ascii="Helvetica-Bold" w:hAnsi="Helvetica-Bold" w:cs="Helvetica-Bold"/>
          <w:b/>
          <w:bCs/>
          <w:sz w:val="28"/>
          <w:szCs w:val="28"/>
        </w:rPr>
        <w:t>and</w:t>
      </w:r>
      <w:proofErr w:type="gramEnd"/>
      <w:r w:rsidRPr="00F2234B">
        <w:rPr>
          <w:rFonts w:ascii="Helvetica-Bold" w:hAnsi="Helvetica-Bold" w:cs="Helvetica-Bold"/>
          <w:b/>
          <w:bCs/>
          <w:sz w:val="28"/>
          <w:szCs w:val="28"/>
        </w:rPr>
        <w:t xml:space="preserve"> Rinse and Self-etch Adhesive Systems in</w:t>
      </w:r>
    </w:p>
    <w:p w14:paraId="03231EAE" w14:textId="77777777" w:rsidR="00F2234B" w:rsidRPr="00F2234B" w:rsidRDefault="00F2234B" w:rsidP="00F2234B">
      <w:pPr>
        <w:jc w:val="center"/>
        <w:rPr>
          <w:rFonts w:ascii="Helvetica-Bold" w:hAnsi="Helvetica-Bold" w:cs="Helvetica-Bold"/>
          <w:b/>
          <w:bCs/>
          <w:sz w:val="28"/>
          <w:szCs w:val="28"/>
        </w:rPr>
      </w:pPr>
      <w:r w:rsidRPr="00F2234B">
        <w:rPr>
          <w:rFonts w:ascii="Helvetica-Bold" w:hAnsi="Helvetica-Bold" w:cs="Helvetica-Bold"/>
          <w:b/>
          <w:bCs/>
          <w:sz w:val="28"/>
          <w:szCs w:val="28"/>
        </w:rPr>
        <w:t>Dentin of Primary Teeth</w:t>
      </w:r>
    </w:p>
    <w:p w14:paraId="755C9C93" w14:textId="77777777" w:rsidR="00F2234B" w:rsidRPr="00F2234B" w:rsidRDefault="00F2234B" w:rsidP="00F2234B">
      <w:pPr>
        <w:jc w:val="center"/>
        <w:rPr>
          <w:rFonts w:ascii="Helvetica-Bold" w:hAnsi="Helvetica-Bold" w:cs="Helvetica-Bold"/>
          <w:b/>
          <w:bCs/>
          <w:sz w:val="28"/>
          <w:szCs w:val="28"/>
        </w:rPr>
      </w:pPr>
    </w:p>
    <w:p w14:paraId="7CEFA96A" w14:textId="77777777" w:rsidR="00F2234B" w:rsidRPr="00F2234B" w:rsidRDefault="00F2234B" w:rsidP="00F2234B">
      <w:pPr>
        <w:ind w:left="-567" w:right="-432"/>
        <w:jc w:val="center"/>
        <w:rPr>
          <w:rFonts w:ascii="Bold" w:hAnsi="Bold" w:cs="Bold"/>
          <w:bCs/>
        </w:rPr>
      </w:pPr>
      <w:proofErr w:type="spellStart"/>
      <w:r w:rsidRPr="00F2234B">
        <w:rPr>
          <w:rFonts w:ascii="Bold" w:hAnsi="Bold" w:cs="Bold"/>
          <w:bCs/>
        </w:rPr>
        <w:t>Masoumeh</w:t>
      </w:r>
      <w:proofErr w:type="spellEnd"/>
      <w:r w:rsidRPr="00F2234B">
        <w:rPr>
          <w:rFonts w:ascii="Bold" w:hAnsi="Bold" w:cs="Bold"/>
          <w:bCs/>
        </w:rPr>
        <w:t xml:space="preserve"> </w:t>
      </w:r>
      <w:proofErr w:type="spellStart"/>
      <w:r w:rsidRPr="00F2234B">
        <w:rPr>
          <w:rFonts w:ascii="Bold" w:hAnsi="Bold" w:cs="Bold"/>
          <w:bCs/>
        </w:rPr>
        <w:t>Ebrahimi</w:t>
      </w:r>
      <w:proofErr w:type="spellEnd"/>
      <w:r w:rsidRPr="00F2234B">
        <w:rPr>
          <w:rFonts w:ascii="Bold" w:hAnsi="Bold" w:cs="Bold"/>
          <w:bCs/>
        </w:rPr>
        <w:t xml:space="preserve">, 2Alireza </w:t>
      </w:r>
      <w:proofErr w:type="spellStart"/>
      <w:r w:rsidRPr="00F2234B">
        <w:rPr>
          <w:rFonts w:ascii="Bold" w:hAnsi="Bold" w:cs="Bold"/>
          <w:bCs/>
        </w:rPr>
        <w:t>Sarraf</w:t>
      </w:r>
      <w:proofErr w:type="spellEnd"/>
      <w:r w:rsidRPr="00F2234B">
        <w:rPr>
          <w:rFonts w:ascii="Bold" w:hAnsi="Bold" w:cs="Bold"/>
          <w:bCs/>
        </w:rPr>
        <w:t xml:space="preserve"> </w:t>
      </w:r>
      <w:proofErr w:type="spellStart"/>
      <w:r w:rsidRPr="00F2234B">
        <w:rPr>
          <w:rFonts w:ascii="Bold" w:hAnsi="Bold" w:cs="Bold"/>
          <w:bCs/>
        </w:rPr>
        <w:t>Shirazi</w:t>
      </w:r>
      <w:proofErr w:type="spellEnd"/>
      <w:r w:rsidRPr="00F2234B">
        <w:rPr>
          <w:rFonts w:ascii="Bold" w:hAnsi="Bold" w:cs="Bold"/>
          <w:bCs/>
        </w:rPr>
        <w:t xml:space="preserve">, 3Faraneh </w:t>
      </w:r>
      <w:proofErr w:type="spellStart"/>
      <w:r w:rsidRPr="00F2234B">
        <w:rPr>
          <w:rFonts w:ascii="Bold" w:hAnsi="Bold" w:cs="Bold"/>
          <w:bCs/>
        </w:rPr>
        <w:t>Abdolhoseinpour</w:t>
      </w:r>
      <w:proofErr w:type="spellEnd"/>
      <w:r w:rsidRPr="00F2234B">
        <w:rPr>
          <w:rFonts w:ascii="Bold" w:hAnsi="Bold" w:cs="Bold"/>
          <w:bCs/>
        </w:rPr>
        <w:t xml:space="preserve">, 4Mojtaba </w:t>
      </w:r>
      <w:proofErr w:type="spellStart"/>
      <w:r w:rsidRPr="00F2234B">
        <w:rPr>
          <w:rFonts w:ascii="Bold" w:hAnsi="Bold" w:cs="Bold"/>
          <w:bCs/>
        </w:rPr>
        <w:t>Abdollahi</w:t>
      </w:r>
      <w:proofErr w:type="spellEnd"/>
    </w:p>
    <w:p w14:paraId="11433B93" w14:textId="77777777" w:rsidR="00F2234B" w:rsidRPr="00F2234B" w:rsidRDefault="00F2234B" w:rsidP="00F2234B">
      <w:pPr>
        <w:ind w:left="-567" w:right="-432"/>
        <w:jc w:val="center"/>
        <w:rPr>
          <w:rFonts w:ascii="Bold" w:hAnsi="Bold" w:cs="Bold"/>
          <w:bCs/>
        </w:rPr>
      </w:pPr>
    </w:p>
    <w:p w14:paraId="5B5137D0" w14:textId="77777777" w:rsidR="00F2234B" w:rsidRPr="00F2234B" w:rsidRDefault="00F2234B" w:rsidP="00F2234B">
      <w:pPr>
        <w:ind w:left="-567" w:right="-432"/>
        <w:jc w:val="center"/>
        <w:rPr>
          <w:rFonts w:ascii="ArialMT" w:hAnsi="ArialMT" w:cs="ArialMT"/>
        </w:rPr>
      </w:pPr>
      <w:r w:rsidRPr="00F2234B">
        <w:rPr>
          <w:rFonts w:ascii="ArialMT" w:hAnsi="ArialMT" w:cs="ArialMT"/>
        </w:rPr>
        <w:t>Dental School of Mashhad University of Medical Sciences</w:t>
      </w:r>
    </w:p>
    <w:p w14:paraId="55D7165B" w14:textId="77777777" w:rsidR="00F2234B" w:rsidRPr="00F2234B" w:rsidRDefault="00F2234B" w:rsidP="00F2234B">
      <w:pPr>
        <w:ind w:left="-567" w:right="-432"/>
        <w:jc w:val="center"/>
        <w:rPr>
          <w:rFonts w:ascii="ArialMT" w:hAnsi="ArialMT" w:cs="ArialMT"/>
        </w:rPr>
      </w:pPr>
    </w:p>
    <w:p w14:paraId="37817B33" w14:textId="77777777" w:rsidR="00F2234B" w:rsidRPr="00F2234B" w:rsidRDefault="00F2234B" w:rsidP="00F2234B">
      <w:pPr>
        <w:widowControl w:val="0"/>
        <w:autoSpaceDE w:val="0"/>
        <w:autoSpaceDN w:val="0"/>
        <w:adjustRightInd w:val="0"/>
        <w:rPr>
          <w:rFonts w:ascii="Arial-BoldMT" w:hAnsi="Arial-BoldMT" w:cs="Arial-BoldMT"/>
        </w:rPr>
      </w:pPr>
      <w:r w:rsidRPr="00F2234B">
        <w:rPr>
          <w:rFonts w:ascii="Arial-BoldMT" w:hAnsi="Arial-BoldMT" w:cs="Arial-BoldMT"/>
          <w:b/>
          <w:bCs/>
        </w:rPr>
        <w:t xml:space="preserve">Introduction: </w:t>
      </w:r>
      <w:r w:rsidRPr="00F2234B">
        <w:rPr>
          <w:rFonts w:ascii="Arial-BoldMT" w:hAnsi="Arial-BoldMT" w:cs="Arial-BoldMT"/>
        </w:rPr>
        <w:t>One of the possible mechanisms for the gradual</w:t>
      </w:r>
    </w:p>
    <w:p w14:paraId="7D601AB5" w14:textId="77777777" w:rsidR="00F2234B" w:rsidRPr="00F2234B" w:rsidRDefault="00F2234B" w:rsidP="00F2234B">
      <w:pPr>
        <w:widowControl w:val="0"/>
        <w:autoSpaceDE w:val="0"/>
        <w:autoSpaceDN w:val="0"/>
        <w:adjustRightInd w:val="0"/>
        <w:rPr>
          <w:rFonts w:ascii="Arial-BoldMT" w:hAnsi="Arial-BoldMT" w:cs="Arial-BoldMT"/>
        </w:rPr>
      </w:pPr>
      <w:proofErr w:type="gramStart"/>
      <w:r w:rsidRPr="00F2234B">
        <w:rPr>
          <w:rFonts w:ascii="Arial-BoldMT" w:hAnsi="Arial-BoldMT" w:cs="Arial-BoldMT"/>
        </w:rPr>
        <w:t>destruction</w:t>
      </w:r>
      <w:proofErr w:type="gramEnd"/>
      <w:r w:rsidRPr="00F2234B">
        <w:rPr>
          <w:rFonts w:ascii="Arial-BoldMT" w:hAnsi="Arial-BoldMT" w:cs="Arial-BoldMT"/>
        </w:rPr>
        <w:t xml:space="preserve"> of bond strength in dentin-resin interface, could be</w:t>
      </w:r>
    </w:p>
    <w:p w14:paraId="6AED8105" w14:textId="77777777" w:rsidR="00F2234B" w:rsidRPr="00F2234B" w:rsidRDefault="00F2234B" w:rsidP="00F2234B">
      <w:pPr>
        <w:widowControl w:val="0"/>
        <w:autoSpaceDE w:val="0"/>
        <w:autoSpaceDN w:val="0"/>
        <w:adjustRightInd w:val="0"/>
        <w:rPr>
          <w:rFonts w:ascii="Arial-BoldMT" w:hAnsi="Arial-BoldMT" w:cs="Arial-BoldMT"/>
        </w:rPr>
      </w:pPr>
      <w:proofErr w:type="gramStart"/>
      <w:r w:rsidRPr="00F2234B">
        <w:rPr>
          <w:rFonts w:ascii="Arial-BoldMT" w:hAnsi="Arial-BoldMT" w:cs="Arial-BoldMT"/>
        </w:rPr>
        <w:t>due</w:t>
      </w:r>
      <w:proofErr w:type="gramEnd"/>
      <w:r w:rsidRPr="00F2234B">
        <w:rPr>
          <w:rFonts w:ascii="Arial-BoldMT" w:hAnsi="Arial-BoldMT" w:cs="Arial-BoldMT"/>
        </w:rPr>
        <w:t xml:space="preserve"> to the demineralized unstable collagen matrix. Use of protease inhibitors, such as tannic acid (TA) could prevent destruction of collagen fibers. The aim of this study was to compare the TA </w:t>
      </w:r>
      <w:proofErr w:type="gramStart"/>
      <w:r w:rsidRPr="00F2234B">
        <w:rPr>
          <w:rFonts w:ascii="Arial-BoldMT" w:hAnsi="Arial-BoldMT" w:cs="Arial-BoldMT"/>
        </w:rPr>
        <w:t>effect on bond strength of etch</w:t>
      </w:r>
      <w:proofErr w:type="gramEnd"/>
      <w:r w:rsidRPr="00F2234B">
        <w:rPr>
          <w:rFonts w:ascii="Arial-BoldMT" w:hAnsi="Arial-BoldMT" w:cs="Arial-BoldMT"/>
        </w:rPr>
        <w:t xml:space="preserve"> and rinse and self-etch adhesive systems in the dentin of primary teeth.</w:t>
      </w:r>
    </w:p>
    <w:p w14:paraId="347B92FB" w14:textId="77777777" w:rsidR="00F2234B" w:rsidRPr="00F2234B" w:rsidRDefault="00F2234B" w:rsidP="00F2234B">
      <w:pPr>
        <w:widowControl w:val="0"/>
        <w:autoSpaceDE w:val="0"/>
        <w:autoSpaceDN w:val="0"/>
        <w:adjustRightInd w:val="0"/>
        <w:rPr>
          <w:rFonts w:ascii="Arial-BoldMT" w:hAnsi="Arial-BoldMT" w:cs="Arial-BoldMT"/>
        </w:rPr>
      </w:pPr>
      <w:r w:rsidRPr="00F2234B">
        <w:rPr>
          <w:rFonts w:ascii="Arial-BoldMT" w:hAnsi="Arial-BoldMT" w:cs="Arial-BoldMT"/>
          <w:b/>
          <w:bCs/>
        </w:rPr>
        <w:t xml:space="preserve">Materials and methods: </w:t>
      </w:r>
      <w:r w:rsidRPr="00F2234B">
        <w:rPr>
          <w:rFonts w:ascii="Arial-BoldMT" w:hAnsi="Arial-BoldMT" w:cs="Arial-BoldMT"/>
        </w:rPr>
        <w:t xml:space="preserve">This </w:t>
      </w:r>
      <w:r w:rsidRPr="00F2234B">
        <w:rPr>
          <w:rFonts w:ascii="Arial-BoldMT" w:hAnsi="Arial-BoldMT" w:cs="Arial-BoldMT"/>
          <w:i/>
          <w:iCs/>
        </w:rPr>
        <w:t xml:space="preserve">in vitro </w:t>
      </w:r>
      <w:r w:rsidRPr="00F2234B">
        <w:rPr>
          <w:rFonts w:ascii="Arial-BoldMT" w:hAnsi="Arial-BoldMT" w:cs="Arial-BoldMT"/>
        </w:rPr>
        <w:t>study was done on 40</w:t>
      </w:r>
      <w:r>
        <w:rPr>
          <w:rFonts w:ascii="Arial-BoldMT" w:hAnsi="Arial-BoldMT" w:cs="Arial-BoldMT"/>
        </w:rPr>
        <w:t xml:space="preserve"> </w:t>
      </w:r>
      <w:r w:rsidRPr="00F2234B">
        <w:rPr>
          <w:rFonts w:ascii="Arial-BoldMT" w:hAnsi="Arial-BoldMT" w:cs="Arial-BoldMT"/>
        </w:rPr>
        <w:t>extracted primary molar teeth. The teeth were sectioned in the</w:t>
      </w:r>
      <w:r>
        <w:rPr>
          <w:rFonts w:ascii="Arial-BoldMT" w:hAnsi="Arial-BoldMT" w:cs="Arial-BoldMT"/>
        </w:rPr>
        <w:t xml:space="preserve"> </w:t>
      </w:r>
      <w:proofErr w:type="spellStart"/>
      <w:r w:rsidRPr="00F2234B">
        <w:rPr>
          <w:rFonts w:ascii="Arial-BoldMT" w:hAnsi="Arial-BoldMT" w:cs="Arial-BoldMT"/>
        </w:rPr>
        <w:t>mesiodistal</w:t>
      </w:r>
      <w:proofErr w:type="spellEnd"/>
      <w:r w:rsidRPr="00F2234B">
        <w:rPr>
          <w:rFonts w:ascii="Arial-BoldMT" w:hAnsi="Arial-BoldMT" w:cs="Arial-BoldMT"/>
        </w:rPr>
        <w:t xml:space="preserve"> direction, and enamel of </w:t>
      </w:r>
      <w:proofErr w:type="spellStart"/>
      <w:r w:rsidRPr="00F2234B">
        <w:rPr>
          <w:rFonts w:ascii="Arial-BoldMT" w:hAnsi="Arial-BoldMT" w:cs="Arial-BoldMT"/>
        </w:rPr>
        <w:t>buccal</w:t>
      </w:r>
      <w:proofErr w:type="spellEnd"/>
      <w:r w:rsidRPr="00F2234B">
        <w:rPr>
          <w:rFonts w:ascii="Arial-BoldMT" w:hAnsi="Arial-BoldMT" w:cs="Arial-BoldMT"/>
        </w:rPr>
        <w:t xml:space="preserve"> and lingual surfaces</w:t>
      </w:r>
      <w:r>
        <w:rPr>
          <w:rFonts w:ascii="Arial-BoldMT" w:hAnsi="Arial-BoldMT" w:cs="Arial-BoldMT"/>
        </w:rPr>
        <w:t xml:space="preserve"> </w:t>
      </w:r>
      <w:r w:rsidRPr="00F2234B">
        <w:rPr>
          <w:rFonts w:ascii="Arial-BoldMT" w:hAnsi="Arial-BoldMT" w:cs="Arial-BoldMT"/>
        </w:rPr>
        <w:t>was removed. Samples were randomly divided into four groups:</w:t>
      </w:r>
      <w:r>
        <w:rPr>
          <w:rFonts w:ascii="Arial-BoldMT" w:hAnsi="Arial-BoldMT" w:cs="Arial-BoldMT"/>
        </w:rPr>
        <w:t xml:space="preserve"> </w:t>
      </w:r>
      <w:r w:rsidRPr="00F2234B">
        <w:rPr>
          <w:rFonts w:ascii="Arial-BoldMT" w:hAnsi="Arial-BoldMT" w:cs="Arial-BoldMT"/>
        </w:rPr>
        <w:t xml:space="preserve">Single bond (SB) + TA, SB, </w:t>
      </w:r>
      <w:proofErr w:type="spellStart"/>
      <w:r w:rsidRPr="00F2234B">
        <w:rPr>
          <w:rFonts w:ascii="Arial-BoldMT" w:hAnsi="Arial-BoldMT" w:cs="Arial-BoldMT"/>
        </w:rPr>
        <w:t>Clearfil</w:t>
      </w:r>
      <w:proofErr w:type="spellEnd"/>
      <w:r w:rsidRPr="00F2234B">
        <w:rPr>
          <w:rFonts w:ascii="Arial-BoldMT" w:hAnsi="Arial-BoldMT" w:cs="Arial-BoldMT"/>
        </w:rPr>
        <w:t xml:space="preserve"> SE Bond (CSB) + TA, and</w:t>
      </w:r>
    </w:p>
    <w:p w14:paraId="03C26BE6" w14:textId="77777777" w:rsidR="00F2234B" w:rsidRPr="00F2234B" w:rsidRDefault="00F2234B" w:rsidP="00F2234B">
      <w:pPr>
        <w:widowControl w:val="0"/>
        <w:autoSpaceDE w:val="0"/>
        <w:autoSpaceDN w:val="0"/>
        <w:adjustRightInd w:val="0"/>
        <w:rPr>
          <w:rFonts w:ascii="Arial-BoldMT" w:hAnsi="Arial-BoldMT" w:cs="Arial-BoldMT"/>
        </w:rPr>
      </w:pPr>
      <w:r w:rsidRPr="00F2234B">
        <w:rPr>
          <w:rFonts w:ascii="Arial-BoldMT" w:hAnsi="Arial-BoldMT" w:cs="Arial-BoldMT"/>
        </w:rPr>
        <w:t xml:space="preserve">CSB. Then, Z250 and </w:t>
      </w:r>
      <w:proofErr w:type="spellStart"/>
      <w:r w:rsidRPr="00F2234B">
        <w:rPr>
          <w:rFonts w:ascii="Arial-BoldMT" w:hAnsi="Arial-BoldMT" w:cs="Arial-BoldMT"/>
        </w:rPr>
        <w:t>Clearfil</w:t>
      </w:r>
      <w:proofErr w:type="spellEnd"/>
      <w:r w:rsidRPr="00F2234B">
        <w:rPr>
          <w:rFonts w:ascii="Arial-BoldMT" w:hAnsi="Arial-BoldMT" w:cs="Arial-BoldMT"/>
        </w:rPr>
        <w:t xml:space="preserve"> AP-X composites were cured on</w:t>
      </w:r>
      <w:r>
        <w:rPr>
          <w:rFonts w:ascii="Arial-BoldMT" w:hAnsi="Arial-BoldMT" w:cs="Arial-BoldMT"/>
        </w:rPr>
        <w:t xml:space="preserve"> </w:t>
      </w:r>
      <w:r w:rsidRPr="00F2234B">
        <w:rPr>
          <w:rFonts w:ascii="Arial-BoldMT" w:hAnsi="Arial-BoldMT" w:cs="Arial-BoldMT"/>
        </w:rPr>
        <w:t>the surfaces of SB and CSB groups respectively. After that, all</w:t>
      </w:r>
      <w:r>
        <w:rPr>
          <w:rFonts w:ascii="Arial-BoldMT" w:hAnsi="Arial-BoldMT" w:cs="Arial-BoldMT"/>
        </w:rPr>
        <w:t xml:space="preserve"> </w:t>
      </w:r>
      <w:r w:rsidRPr="00F2234B">
        <w:rPr>
          <w:rFonts w:ascii="Arial-BoldMT" w:hAnsi="Arial-BoldMT" w:cs="Arial-BoldMT"/>
        </w:rPr>
        <w:t>samples were divided into aging and non-aging groups. For</w:t>
      </w:r>
      <w:r>
        <w:rPr>
          <w:rFonts w:ascii="Arial-BoldMT" w:hAnsi="Arial-BoldMT" w:cs="Arial-BoldMT"/>
        </w:rPr>
        <w:t xml:space="preserve"> </w:t>
      </w:r>
      <w:r w:rsidRPr="00F2234B">
        <w:rPr>
          <w:rFonts w:ascii="Arial-BoldMT" w:hAnsi="Arial-BoldMT" w:cs="Arial-BoldMT"/>
        </w:rPr>
        <w:t>3 months, samples were placed under 1,000 thermal cycles</w:t>
      </w:r>
      <w:r>
        <w:rPr>
          <w:rFonts w:ascii="Arial-BoldMT" w:hAnsi="Arial-BoldMT" w:cs="Arial-BoldMT"/>
        </w:rPr>
        <w:t xml:space="preserve"> </w:t>
      </w:r>
      <w:r w:rsidRPr="00F2234B">
        <w:rPr>
          <w:rFonts w:ascii="Arial-BoldMT" w:hAnsi="Arial-BoldMT" w:cs="Arial-BoldMT"/>
        </w:rPr>
        <w:t>in aging group. Subsequently, the shear bond strengths of all</w:t>
      </w:r>
      <w:r>
        <w:rPr>
          <w:rFonts w:ascii="Arial-BoldMT" w:hAnsi="Arial-BoldMT" w:cs="Arial-BoldMT"/>
        </w:rPr>
        <w:t xml:space="preserve"> </w:t>
      </w:r>
      <w:r w:rsidRPr="00F2234B">
        <w:rPr>
          <w:rFonts w:ascii="Arial-BoldMT" w:hAnsi="Arial-BoldMT" w:cs="Arial-BoldMT"/>
        </w:rPr>
        <w:t>groups were measured by the International testing machine,</w:t>
      </w:r>
      <w:r>
        <w:rPr>
          <w:rFonts w:ascii="Arial-BoldMT" w:hAnsi="Arial-BoldMT" w:cs="Arial-BoldMT"/>
        </w:rPr>
        <w:t xml:space="preserve"> </w:t>
      </w:r>
      <w:r w:rsidRPr="00F2234B">
        <w:rPr>
          <w:rFonts w:ascii="Arial-BoldMT" w:hAnsi="Arial-BoldMT" w:cs="Arial-BoldMT"/>
        </w:rPr>
        <w:t xml:space="preserve">and failure mode was evaluated by an optical </w:t>
      </w:r>
      <w:proofErr w:type="spellStart"/>
      <w:proofErr w:type="gramStart"/>
      <w:r w:rsidRPr="00F2234B">
        <w:rPr>
          <w:rFonts w:ascii="Arial-BoldMT" w:hAnsi="Arial-BoldMT" w:cs="Arial-BoldMT"/>
        </w:rPr>
        <w:t>stereomicroscope.Data</w:t>
      </w:r>
      <w:proofErr w:type="spellEnd"/>
      <w:proofErr w:type="gramEnd"/>
      <w:r w:rsidRPr="00F2234B">
        <w:rPr>
          <w:rFonts w:ascii="Arial-BoldMT" w:hAnsi="Arial-BoldMT" w:cs="Arial-BoldMT"/>
        </w:rPr>
        <w:t xml:space="preserve"> were analyzed with paired t-test and independent t-test.</w:t>
      </w:r>
    </w:p>
    <w:p w14:paraId="54B1F952" w14:textId="77777777" w:rsidR="00F2234B" w:rsidRPr="00F2234B" w:rsidRDefault="00F2234B" w:rsidP="00F2234B">
      <w:pPr>
        <w:widowControl w:val="0"/>
        <w:autoSpaceDE w:val="0"/>
        <w:autoSpaceDN w:val="0"/>
        <w:adjustRightInd w:val="0"/>
        <w:rPr>
          <w:rFonts w:ascii="Arial-BoldMT" w:hAnsi="Arial-BoldMT" w:cs="Arial-BoldMT"/>
        </w:rPr>
      </w:pPr>
      <w:r w:rsidRPr="00F2234B">
        <w:rPr>
          <w:rFonts w:ascii="Arial-BoldMT" w:hAnsi="Arial-BoldMT" w:cs="Arial-BoldMT"/>
          <w:b/>
          <w:bCs/>
        </w:rPr>
        <w:t xml:space="preserve">Results: </w:t>
      </w:r>
      <w:r w:rsidRPr="00F2234B">
        <w:rPr>
          <w:rFonts w:ascii="Arial-BoldMT" w:hAnsi="Arial-BoldMT" w:cs="Arial-BoldMT"/>
        </w:rPr>
        <w:t>Tannic acid induced a significant reduction in the</w:t>
      </w:r>
      <w:r>
        <w:rPr>
          <w:rFonts w:ascii="Arial-BoldMT" w:hAnsi="Arial-BoldMT" w:cs="Arial-BoldMT"/>
        </w:rPr>
        <w:t xml:space="preserve"> </w:t>
      </w:r>
      <w:r w:rsidRPr="00F2234B">
        <w:rPr>
          <w:rFonts w:ascii="Arial-BoldMT" w:hAnsi="Arial-BoldMT" w:cs="Arial-BoldMT"/>
        </w:rPr>
        <w:t>immediate bond strength of adhesive SB. Meanwhile, TA had</w:t>
      </w:r>
      <w:r>
        <w:rPr>
          <w:rFonts w:ascii="Arial-BoldMT" w:hAnsi="Arial-BoldMT" w:cs="Arial-BoldMT"/>
        </w:rPr>
        <w:t xml:space="preserve"> </w:t>
      </w:r>
      <w:r w:rsidRPr="00F2234B">
        <w:rPr>
          <w:rFonts w:ascii="Arial-BoldMT" w:hAnsi="Arial-BoldMT" w:cs="Arial-BoldMT"/>
        </w:rPr>
        <w:t>no significant effect on shear bond strength of the CSB system.</w:t>
      </w:r>
    </w:p>
    <w:p w14:paraId="4AB6A36B" w14:textId="77777777" w:rsidR="00F2234B" w:rsidRPr="00F2234B" w:rsidRDefault="00F2234B" w:rsidP="00F2234B">
      <w:pPr>
        <w:widowControl w:val="0"/>
        <w:autoSpaceDE w:val="0"/>
        <w:autoSpaceDN w:val="0"/>
        <w:adjustRightInd w:val="0"/>
        <w:rPr>
          <w:rFonts w:ascii="Arial-BoldMT" w:hAnsi="Arial-BoldMT" w:cs="Arial-BoldMT"/>
        </w:rPr>
      </w:pPr>
      <w:r w:rsidRPr="00F2234B">
        <w:rPr>
          <w:rFonts w:ascii="Arial-BoldMT" w:hAnsi="Arial-BoldMT" w:cs="Arial-BoldMT"/>
          <w:b/>
          <w:bCs/>
        </w:rPr>
        <w:t xml:space="preserve">Conclusion: </w:t>
      </w:r>
      <w:r w:rsidRPr="00F2234B">
        <w:rPr>
          <w:rFonts w:ascii="Arial-BoldMT" w:hAnsi="Arial-BoldMT" w:cs="Arial-BoldMT"/>
        </w:rPr>
        <w:t>Based on our findings, use of TA is not recommended with SB and CSB adhesives on primary teeth.</w:t>
      </w:r>
    </w:p>
    <w:p w14:paraId="5BA81789" w14:textId="77777777" w:rsidR="00F2234B" w:rsidRDefault="00F2234B" w:rsidP="00F2234B">
      <w:pPr>
        <w:widowControl w:val="0"/>
        <w:autoSpaceDE w:val="0"/>
        <w:autoSpaceDN w:val="0"/>
        <w:adjustRightInd w:val="0"/>
        <w:rPr>
          <w:rFonts w:ascii="Arial-BoldMT" w:hAnsi="Arial-BoldMT" w:cs="Arial-BoldMT"/>
        </w:rPr>
      </w:pPr>
      <w:r w:rsidRPr="00F2234B">
        <w:rPr>
          <w:rFonts w:ascii="Arial-BoldMT" w:hAnsi="Arial-BoldMT" w:cs="Arial-BoldMT"/>
          <w:b/>
          <w:bCs/>
        </w:rPr>
        <w:t xml:space="preserve">Clinical significance: </w:t>
      </w:r>
      <w:r w:rsidRPr="00F2234B">
        <w:rPr>
          <w:rFonts w:ascii="Arial-BoldMT" w:hAnsi="Arial-BoldMT" w:cs="Arial-BoldMT"/>
        </w:rPr>
        <w:t>Tannic acid may not be considered in</w:t>
      </w:r>
      <w:r>
        <w:rPr>
          <w:rFonts w:ascii="Arial-BoldMT" w:hAnsi="Arial-BoldMT" w:cs="Arial-BoldMT"/>
        </w:rPr>
        <w:t xml:space="preserve"> </w:t>
      </w:r>
      <w:r w:rsidRPr="00F2234B">
        <w:rPr>
          <w:rFonts w:ascii="Arial-BoldMT" w:hAnsi="Arial-BoldMT" w:cs="Arial-BoldMT"/>
        </w:rPr>
        <w:t>resin restorations of primary teeth.</w:t>
      </w:r>
    </w:p>
    <w:p w14:paraId="5A9BD08A" w14:textId="77777777" w:rsidR="00F2234B" w:rsidRDefault="00F2234B" w:rsidP="00F2234B">
      <w:pPr>
        <w:widowControl w:val="0"/>
        <w:autoSpaceDE w:val="0"/>
        <w:autoSpaceDN w:val="0"/>
        <w:adjustRightInd w:val="0"/>
        <w:rPr>
          <w:rFonts w:ascii="Arial-BoldMT" w:hAnsi="Arial-BoldMT" w:cs="Arial-BoldMT"/>
        </w:rPr>
      </w:pPr>
    </w:p>
    <w:p w14:paraId="269C1BF2" w14:textId="77777777" w:rsidR="00F2234B" w:rsidRDefault="00F2234B" w:rsidP="00F2234B">
      <w:pPr>
        <w:autoSpaceDE w:val="0"/>
        <w:autoSpaceDN w:val="0"/>
        <w:adjustRightInd w:val="0"/>
      </w:pPr>
      <w:r w:rsidRPr="008464B6">
        <w:rPr>
          <w:rFonts w:ascii="Times New Roman" w:hAnsi="Times New Roman" w:cs="Times New Roman"/>
          <w:b/>
        </w:rPr>
        <w:t>Biography:</w:t>
      </w:r>
      <w:r>
        <w:rPr>
          <w:rFonts w:ascii="Times New Roman" w:hAnsi="Times New Roman" w:cs="Times New Roman"/>
        </w:rPr>
        <w:t xml:space="preserve"> Faraneh </w:t>
      </w:r>
      <w:proofErr w:type="spellStart"/>
      <w:r>
        <w:rPr>
          <w:rFonts w:ascii="Times New Roman" w:hAnsi="Times New Roman" w:cs="Times New Roman"/>
        </w:rPr>
        <w:t>Abdolhoseinpour</w:t>
      </w:r>
      <w:proofErr w:type="spellEnd"/>
      <w:r w:rsidRPr="008464B6">
        <w:t xml:space="preserve"> </w:t>
      </w:r>
      <w:r>
        <w:t>has completed her DDS at the age of 24 years from Mashhad University of Medical Sciences and completed Pediatric Dentistry as postgraduate student at Azad University of Medical Sciences. She has published some papers in ISI and PubMed journals.</w:t>
      </w:r>
    </w:p>
    <w:p w14:paraId="4DE8D646" w14:textId="77777777" w:rsidR="00F2234B" w:rsidRDefault="00F2234B" w:rsidP="00F2234B">
      <w:pPr>
        <w:autoSpaceDE w:val="0"/>
        <w:autoSpaceDN w:val="0"/>
        <w:adjustRightInd w:val="0"/>
        <w:spacing w:line="276" w:lineRule="auto"/>
        <w:rPr>
          <w:b/>
          <w:lang w:val="en-NZ"/>
        </w:rPr>
      </w:pPr>
    </w:p>
    <w:p w14:paraId="78712094" w14:textId="77777777" w:rsidR="00F2234B" w:rsidRPr="00F2234B" w:rsidRDefault="00F2234B" w:rsidP="00F2234B">
      <w:pPr>
        <w:widowControl w:val="0"/>
        <w:autoSpaceDE w:val="0"/>
        <w:autoSpaceDN w:val="0"/>
        <w:adjustRightInd w:val="0"/>
        <w:rPr>
          <w:rFonts w:ascii="Arial-BoldMT" w:hAnsi="Arial-BoldMT" w:cs="Arial-BoldMT"/>
        </w:rPr>
      </w:pPr>
      <w:r w:rsidRPr="0099360B">
        <w:rPr>
          <w:b/>
          <w:lang w:val="en-NZ"/>
        </w:rPr>
        <w:t xml:space="preserve"> </w:t>
      </w:r>
      <w:r w:rsidRPr="008A690F">
        <w:rPr>
          <w:b/>
          <w:lang w:val="en-NZ"/>
        </w:rPr>
        <w:t xml:space="preserve">Presenting author details </w:t>
      </w:r>
      <w:r w:rsidRPr="008A690F">
        <w:rPr>
          <w:b/>
          <w:lang w:val="en-NZ"/>
        </w:rPr>
        <w:br/>
      </w:r>
      <w:r w:rsidRPr="008A690F">
        <w:rPr>
          <w:lang w:val="en-NZ"/>
        </w:rPr>
        <w:t xml:space="preserve">Full name: </w:t>
      </w:r>
      <w:r>
        <w:rPr>
          <w:lang w:val="en-NZ"/>
        </w:rPr>
        <w:t>Faraneh Abdolhoseinpour</w:t>
      </w:r>
      <w:r w:rsidRPr="008A690F">
        <w:rPr>
          <w:lang w:val="en-NZ"/>
        </w:rPr>
        <w:br/>
        <w:t>Contact number:</w:t>
      </w:r>
      <w:r>
        <w:rPr>
          <w:lang w:val="en-NZ"/>
        </w:rPr>
        <w:t>00989153216833</w:t>
      </w:r>
      <w:r w:rsidRPr="008A690F">
        <w:rPr>
          <w:lang w:val="en-NZ"/>
        </w:rPr>
        <w:br/>
        <w:t>Linked In account:</w:t>
      </w:r>
      <w:r>
        <w:rPr>
          <w:lang w:val="en-NZ"/>
        </w:rPr>
        <w:t>Faraneh Abdolhoseinpour</w:t>
      </w:r>
      <w:r w:rsidRPr="008A690F">
        <w:rPr>
          <w:lang w:val="en-NZ"/>
        </w:rPr>
        <w:br/>
        <w:t xml:space="preserve">Category: </w:t>
      </w:r>
      <w:r w:rsidR="00253F6B" w:rsidRPr="008A690F">
        <w:rPr>
          <w:lang w:val="en-NZ"/>
        </w:rPr>
        <w:t>(Oral presentation/ Poster presentation)</w:t>
      </w:r>
      <w:bookmarkStart w:id="0" w:name="_GoBack"/>
      <w:bookmarkEnd w:id="0"/>
    </w:p>
    <w:p w14:paraId="26FBD636" w14:textId="77777777" w:rsidR="00F2234B" w:rsidRPr="00F2234B" w:rsidRDefault="00F2234B" w:rsidP="00F2234B">
      <w:pPr>
        <w:widowControl w:val="0"/>
        <w:autoSpaceDE w:val="0"/>
        <w:autoSpaceDN w:val="0"/>
        <w:adjustRightInd w:val="0"/>
        <w:rPr>
          <w:rFonts w:ascii="Arial-BoldMT" w:hAnsi="Arial-BoldMT" w:cs="Arial-BoldMT"/>
        </w:rPr>
      </w:pPr>
    </w:p>
    <w:p w14:paraId="2655A69E" w14:textId="77777777" w:rsidR="00F2234B" w:rsidRPr="00F2234B" w:rsidRDefault="00F2234B" w:rsidP="00F2234B">
      <w:pPr>
        <w:ind w:left="-567" w:right="-432" w:firstLine="567"/>
      </w:pPr>
    </w:p>
    <w:sectPr w:rsidR="00F2234B" w:rsidRPr="00F2234B" w:rsidSect="000E5E7D">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Bold">
    <w:altName w:val="Helvetica"/>
    <w:panose1 w:val="00000000000000000000"/>
    <w:charset w:val="4D"/>
    <w:family w:val="swiss"/>
    <w:notTrueType/>
    <w:pitch w:val="default"/>
    <w:sig w:usb0="00000003" w:usb1="00000000" w:usb2="00000000" w:usb3="00000000" w:csb0="00000001" w:csb1="00000000"/>
  </w:font>
  <w:font w:name="Bold">
    <w:altName w:val="Cambria"/>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34B"/>
    <w:rsid w:val="000E5E7D"/>
    <w:rsid w:val="000F4FB5"/>
    <w:rsid w:val="00253F6B"/>
    <w:rsid w:val="00F2234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7AE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348</Words>
  <Characters>1987</Characters>
  <Application>Microsoft Macintosh Word</Application>
  <DocSecurity>0</DocSecurity>
  <Lines>16</Lines>
  <Paragraphs>4</Paragraphs>
  <ScaleCrop>false</ScaleCrop>
  <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Faraneh pour</dc:creator>
  <cp:keywords/>
  <dc:description/>
  <cp:lastModifiedBy>Faraneh pour</cp:lastModifiedBy>
  <cp:revision>2</cp:revision>
  <dcterms:created xsi:type="dcterms:W3CDTF">2017-09-23T21:22:00Z</dcterms:created>
  <dcterms:modified xsi:type="dcterms:W3CDTF">2017-09-23T21:38:00Z</dcterms:modified>
</cp:coreProperties>
</file>