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4865D0" w:rsidP="00AF61EB">
      <w:pPr>
        <w:keepNext/>
      </w:pPr>
      <w:r>
        <w:rPr>
          <w:b/>
          <w:bCs/>
          <w:noProof/>
          <w:sz w:val="22"/>
          <w:szCs w:val="28"/>
          <w:rtl/>
          <w:lang w:eastAsia="en-US"/>
        </w:rPr>
        <w:drawing>
          <wp:anchor distT="0" distB="0" distL="114300" distR="114300" simplePos="0" relativeHeight="251661824" behindDoc="1" locked="0" layoutInCell="1" allowOverlap="1" wp14:anchorId="4963E711" wp14:editId="18A455AA">
            <wp:simplePos x="0" y="0"/>
            <wp:positionH relativeFrom="margin">
              <wp:posOffset>2834640</wp:posOffset>
            </wp:positionH>
            <wp:positionV relativeFrom="paragraph">
              <wp:posOffset>7620</wp:posOffset>
            </wp:positionV>
            <wp:extent cx="2956560" cy="1447800"/>
            <wp:effectExtent l="0" t="0" r="0" b="0"/>
            <wp:wrapThrough wrapText="bothSides">
              <wp:wrapPolygon edited="0">
                <wp:start x="0" y="0"/>
                <wp:lineTo x="0" y="21316"/>
                <wp:lineTo x="21433" y="21316"/>
                <wp:lineTo x="21433" y="0"/>
                <wp:lineTo x="0" y="0"/>
              </wp:wrapPolygon>
            </wp:wrapThrough>
            <wp:docPr id="3" name="Picture 4" descr="C:\Users\pc\Desktop\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logo2.jpg"/>
                    <pic:cNvPicPr>
                      <a:picLocks noChangeAspect="1" noChangeArrowheads="1"/>
                    </pic:cNvPicPr>
                  </pic:nvPicPr>
                  <pic:blipFill>
                    <a:blip r:embed="rId4"/>
                    <a:srcRect l="3278" t="7700" r="28281"/>
                    <a:stretch>
                      <a:fillRect/>
                    </a:stretch>
                  </pic:blipFill>
                  <pic:spPr bwMode="auto">
                    <a:xfrm>
                      <a:off x="0" y="0"/>
                      <a:ext cx="2956560" cy="1447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30727" w:rsidRPr="009A786B">
        <w:rPr>
          <w:noProof/>
          <w:lang w:eastAsia="en-US"/>
        </w:rPr>
        <w:drawing>
          <wp:anchor distT="0" distB="0" distL="114300" distR="114300" simplePos="0" relativeHeight="251659776" behindDoc="0" locked="0" layoutInCell="1" allowOverlap="1" wp14:anchorId="69E9E3D7" wp14:editId="4CD6B11B">
            <wp:simplePos x="0" y="0"/>
            <wp:positionH relativeFrom="margin">
              <wp:align>left</wp:align>
            </wp:positionH>
            <wp:positionV relativeFrom="paragraph">
              <wp:posOffset>7620</wp:posOffset>
            </wp:positionV>
            <wp:extent cx="1539240" cy="1242060"/>
            <wp:effectExtent l="0" t="0" r="3810" b="0"/>
            <wp:wrapNone/>
            <wp:docPr id="6"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5" cstate="print"/>
                    <a:srcRect/>
                    <a:stretch>
                      <a:fillRect/>
                    </a:stretch>
                  </pic:blipFill>
                  <pic:spPr bwMode="auto">
                    <a:xfrm>
                      <a:off x="0" y="0"/>
                      <a:ext cx="1539240" cy="1242060"/>
                    </a:xfrm>
                    <a:prstGeom prst="rect">
                      <a:avLst/>
                    </a:prstGeom>
                    <a:noFill/>
                  </pic:spPr>
                </pic:pic>
              </a:graphicData>
            </a:graphic>
            <wp14:sizeRelH relativeFrom="margin">
              <wp14:pctWidth>0</wp14:pctWidth>
            </wp14:sizeRelH>
            <wp14:sizeRelV relativeFrom="margin">
              <wp14:pctHeight>0</wp14:pctHeight>
            </wp14:sizeRelV>
          </wp:anchor>
        </w:drawing>
      </w:r>
      <w:r w:rsidR="00935D7B">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C578FF">
        <w:rPr>
          <w:rFonts w:eastAsia="MS PGothic"/>
          <w:b/>
          <w:noProof/>
          <w:color w:val="000000"/>
          <w:sz w:val="28"/>
          <w:szCs w:val="28"/>
          <w:lang w:eastAsia="en-US"/>
        </w:rPr>
        <w:drawing>
          <wp:inline distT="0" distB="0" distL="0" distR="0">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F01247" w:rsidRPr="00F01247" w:rsidRDefault="00074C9C" w:rsidP="000D1EE1">
      <w:pPr>
        <w:jc w:val="both"/>
        <w:rPr>
          <w:rFonts w:eastAsia="MS PGothic"/>
          <w:color w:val="000000"/>
          <w:sz w:val="28"/>
          <w:szCs w:val="28"/>
        </w:rPr>
      </w:pPr>
      <w:r w:rsidRPr="00327F9B">
        <w:rPr>
          <w:rFonts w:eastAsia="MS PGothic"/>
          <w:b/>
          <w:color w:val="000000"/>
          <w:sz w:val="28"/>
          <w:szCs w:val="28"/>
        </w:rPr>
        <w:t>Title: E-BABE</w:t>
      </w:r>
      <w:r>
        <w:rPr>
          <w:rFonts w:eastAsia="MS PGothic"/>
          <w:b/>
          <w:color w:val="000000"/>
          <w:sz w:val="28"/>
          <w:szCs w:val="28"/>
        </w:rPr>
        <w:t>-</w:t>
      </w:r>
      <w:r w:rsidR="00F01247" w:rsidRPr="00F01247">
        <w:rPr>
          <w:rFonts w:eastAsia="MS PGothic"/>
          <w:color w:val="000000"/>
          <w:sz w:val="28"/>
          <w:szCs w:val="28"/>
        </w:rPr>
        <w:t>Interaction of Chitosan, Curcumin, and Hydroxyapatite Nanoparticles on the Reproductive System and its Molecular Parameters in Male Rat</w:t>
      </w:r>
    </w:p>
    <w:p w:rsidR="005B4B32" w:rsidRPr="00280FAF" w:rsidRDefault="00074C9C" w:rsidP="002B09F1">
      <w:pPr>
        <w:rPr>
          <w:rFonts w:asciiTheme="majorBidi" w:hAnsiTheme="majorBidi"/>
        </w:rPr>
      </w:pPr>
      <w:r>
        <w:rPr>
          <w:rFonts w:eastAsia="MS PGothic" w:hAnsi="Arial"/>
          <w:color w:val="000000"/>
        </w:rPr>
        <w:br/>
      </w:r>
      <w:r w:rsidR="005B4B32" w:rsidRPr="00327F9B">
        <w:rPr>
          <w:rFonts w:eastAsia="MS PGothic" w:hAnsi="Arial"/>
          <w:color w:val="000000"/>
        </w:rPr>
        <w:t xml:space="preserve">Name: </w:t>
      </w:r>
      <w:r w:rsidR="00066846" w:rsidRPr="009C3F42">
        <w:rPr>
          <w:rFonts w:asciiTheme="majorBidi" w:hAnsiTheme="majorBidi"/>
        </w:rPr>
        <w:t>Mokhtar Ibrahi</w:t>
      </w:r>
      <w:bookmarkStart w:id="0" w:name="_GoBack"/>
      <w:bookmarkEnd w:id="0"/>
      <w:r w:rsidR="00066846" w:rsidRPr="009C3F42">
        <w:rPr>
          <w:rFonts w:asciiTheme="majorBidi" w:hAnsiTheme="majorBidi"/>
        </w:rPr>
        <w:t>m Yousef</w:t>
      </w:r>
      <w:r w:rsidR="00066846">
        <w:rPr>
          <w:rFonts w:asciiTheme="majorBidi" w:hAnsiTheme="majorBidi"/>
        </w:rPr>
        <w:t xml:space="preserve"> </w:t>
      </w:r>
      <w:r w:rsidR="00066846" w:rsidRPr="009C3F42">
        <w:rPr>
          <w:rFonts w:asciiTheme="majorBidi" w:hAnsiTheme="majorBidi"/>
          <w:vertAlign w:val="superscript"/>
        </w:rPr>
        <w:t>1</w:t>
      </w:r>
      <w:r w:rsidR="00066846" w:rsidRPr="009C3F42">
        <w:rPr>
          <w:rFonts w:asciiTheme="majorBidi" w:hAnsiTheme="majorBidi"/>
        </w:rPr>
        <w:t xml:space="preserve">, </w:t>
      </w:r>
      <w:proofErr w:type="spellStart"/>
      <w:r w:rsidR="00066846" w:rsidRPr="009C3F42">
        <w:rPr>
          <w:rFonts w:asciiTheme="majorBidi" w:hAnsiTheme="majorBidi"/>
        </w:rPr>
        <w:t>Haitham</w:t>
      </w:r>
      <w:proofErr w:type="spellEnd"/>
      <w:r w:rsidR="00066846" w:rsidRPr="009C3F42">
        <w:rPr>
          <w:rFonts w:asciiTheme="majorBidi" w:hAnsiTheme="majorBidi"/>
        </w:rPr>
        <w:t xml:space="preserve"> </w:t>
      </w:r>
      <w:proofErr w:type="spellStart"/>
      <w:r w:rsidR="00066846" w:rsidRPr="009C3F42">
        <w:rPr>
          <w:rFonts w:asciiTheme="majorBidi" w:hAnsiTheme="majorBidi"/>
        </w:rPr>
        <w:t>Hassen</w:t>
      </w:r>
      <w:proofErr w:type="spellEnd"/>
      <w:r w:rsidR="00066846" w:rsidRPr="009C3F42">
        <w:rPr>
          <w:rFonts w:asciiTheme="majorBidi" w:hAnsiTheme="majorBidi"/>
        </w:rPr>
        <w:t xml:space="preserve"> </w:t>
      </w:r>
      <w:proofErr w:type="spellStart"/>
      <w:r w:rsidR="00066846" w:rsidRPr="009C3F42">
        <w:rPr>
          <w:rFonts w:asciiTheme="majorBidi" w:hAnsiTheme="majorBidi"/>
        </w:rPr>
        <w:t>Abd</w:t>
      </w:r>
      <w:proofErr w:type="spellEnd"/>
      <w:r w:rsidR="00066846">
        <w:rPr>
          <w:rFonts w:asciiTheme="majorBidi" w:hAnsiTheme="majorBidi"/>
        </w:rPr>
        <w:t xml:space="preserve"> </w:t>
      </w:r>
      <w:r w:rsidR="00066846" w:rsidRPr="009C3F42">
        <w:rPr>
          <w:vertAlign w:val="superscript"/>
        </w:rPr>
        <w:t>1</w:t>
      </w:r>
      <w:r w:rsidR="00066846" w:rsidRPr="009C3F42">
        <w:rPr>
          <w:rFonts w:asciiTheme="majorBidi" w:hAnsiTheme="majorBidi"/>
        </w:rPr>
        <w:t xml:space="preserve">, Maher </w:t>
      </w:r>
      <w:proofErr w:type="spellStart"/>
      <w:r w:rsidR="00066846" w:rsidRPr="009C3F42">
        <w:rPr>
          <w:rFonts w:asciiTheme="majorBidi" w:hAnsiTheme="majorBidi"/>
        </w:rPr>
        <w:t>Abd</w:t>
      </w:r>
      <w:proofErr w:type="spellEnd"/>
      <w:r w:rsidR="00066846" w:rsidRPr="009C3F42">
        <w:rPr>
          <w:rFonts w:asciiTheme="majorBidi" w:hAnsiTheme="majorBidi"/>
        </w:rPr>
        <w:t xml:space="preserve"> El-</w:t>
      </w:r>
      <w:proofErr w:type="spellStart"/>
      <w:r w:rsidR="00066846" w:rsidRPr="009C3F42">
        <w:rPr>
          <w:rFonts w:asciiTheme="majorBidi" w:hAnsiTheme="majorBidi"/>
        </w:rPr>
        <w:t>naby</w:t>
      </w:r>
      <w:proofErr w:type="spellEnd"/>
      <w:r w:rsidR="00066846" w:rsidRPr="009C3F42">
        <w:rPr>
          <w:rFonts w:asciiTheme="majorBidi" w:hAnsiTheme="majorBidi"/>
        </w:rPr>
        <w:t xml:space="preserve"> </w:t>
      </w:r>
      <w:proofErr w:type="spellStart"/>
      <w:r w:rsidR="00066846" w:rsidRPr="009C3F42">
        <w:rPr>
          <w:rFonts w:asciiTheme="majorBidi" w:hAnsiTheme="majorBidi"/>
        </w:rPr>
        <w:t>Kamel</w:t>
      </w:r>
      <w:proofErr w:type="spellEnd"/>
      <w:r w:rsidR="00066846">
        <w:rPr>
          <w:rFonts w:asciiTheme="majorBidi" w:hAnsiTheme="majorBidi"/>
        </w:rPr>
        <w:t xml:space="preserve"> </w:t>
      </w:r>
      <w:r w:rsidR="00066846">
        <w:rPr>
          <w:vertAlign w:val="superscript"/>
        </w:rPr>
        <w:t>2</w:t>
      </w:r>
      <w:r w:rsidR="00280FAF">
        <w:t xml:space="preserve">, </w:t>
      </w:r>
      <w:proofErr w:type="spellStart"/>
      <w:r w:rsidR="00280FAF" w:rsidRPr="00280FAF">
        <w:rPr>
          <w:rFonts w:asciiTheme="majorBidi" w:hAnsiTheme="majorBidi"/>
        </w:rPr>
        <w:t>Yaser</w:t>
      </w:r>
      <w:proofErr w:type="spellEnd"/>
      <w:r w:rsidR="00280FAF" w:rsidRPr="00280FAF">
        <w:rPr>
          <w:rFonts w:asciiTheme="majorBidi" w:hAnsiTheme="majorBidi"/>
        </w:rPr>
        <w:t xml:space="preserve"> Mohamed </w:t>
      </w:r>
      <w:proofErr w:type="spellStart"/>
      <w:r w:rsidR="00280FAF" w:rsidRPr="00280FAF">
        <w:rPr>
          <w:rFonts w:asciiTheme="majorBidi" w:hAnsiTheme="majorBidi"/>
        </w:rPr>
        <w:t>Helmy</w:t>
      </w:r>
      <w:proofErr w:type="spellEnd"/>
      <w:r w:rsidR="00280FAF" w:rsidRPr="00280FAF">
        <w:rPr>
          <w:rFonts w:asciiTheme="majorBidi" w:hAnsiTheme="majorBidi"/>
        </w:rPr>
        <w:t xml:space="preserve"> </w:t>
      </w:r>
      <w:proofErr w:type="spellStart"/>
      <w:r w:rsidR="00280FAF" w:rsidRPr="00280FAF">
        <w:rPr>
          <w:rFonts w:asciiTheme="majorBidi" w:hAnsiTheme="majorBidi"/>
        </w:rPr>
        <w:t>Elkamary</w:t>
      </w:r>
      <w:proofErr w:type="spellEnd"/>
      <w:r w:rsidR="002B09F1">
        <w:rPr>
          <w:rFonts w:asciiTheme="majorBidi" w:hAnsiTheme="majorBidi"/>
        </w:rPr>
        <w:t xml:space="preserve"> </w:t>
      </w:r>
      <w:r w:rsidR="002B09F1">
        <w:rPr>
          <w:vertAlign w:val="superscript"/>
        </w:rPr>
        <w:t>3</w:t>
      </w:r>
    </w:p>
    <w:p w:rsidR="008E2F78" w:rsidRPr="00280FAF" w:rsidRDefault="008E2F78" w:rsidP="003A3C5A">
      <w:pPr>
        <w:rPr>
          <w:rFonts w:asciiTheme="majorBidi" w:hAnsiTheme="majorBidi"/>
        </w:rPr>
      </w:pPr>
    </w:p>
    <w:p w:rsidR="00813A58" w:rsidRPr="009C3F42" w:rsidRDefault="00813A58" w:rsidP="00813A58">
      <w:pPr>
        <w:jc w:val="both"/>
        <w:rPr>
          <w:rFonts w:asciiTheme="majorBidi" w:hAnsiTheme="majorBidi"/>
        </w:rPr>
      </w:pPr>
      <w:r w:rsidRPr="009C3F42">
        <w:rPr>
          <w:vertAlign w:val="superscript"/>
        </w:rPr>
        <w:t>1</w:t>
      </w:r>
      <w:r w:rsidRPr="009C3F42">
        <w:rPr>
          <w:lang w:bidi="ar-EG"/>
        </w:rPr>
        <w:t xml:space="preserve"> </w:t>
      </w:r>
      <w:r w:rsidRPr="00D25BF6">
        <w:t>Alexandria University, Institute of Graduate Studies and Research,</w:t>
      </w:r>
      <w:r>
        <w:t xml:space="preserve"> </w:t>
      </w:r>
      <w:r w:rsidRPr="009C3F42">
        <w:rPr>
          <w:rFonts w:asciiTheme="majorBidi" w:hAnsiTheme="majorBidi"/>
        </w:rPr>
        <w:t>Department of Environmental Studies,</w:t>
      </w:r>
      <w:r>
        <w:rPr>
          <w:rFonts w:asciiTheme="majorBidi" w:hAnsiTheme="majorBidi"/>
        </w:rPr>
        <w:t xml:space="preserve"> </w:t>
      </w:r>
      <w:r w:rsidRPr="009C3F42">
        <w:rPr>
          <w:rFonts w:asciiTheme="majorBidi" w:hAnsiTheme="majorBidi"/>
        </w:rPr>
        <w:t xml:space="preserve">163 Horreya Avenue, </w:t>
      </w:r>
      <w:proofErr w:type="spellStart"/>
      <w:r w:rsidRPr="009C3F42">
        <w:rPr>
          <w:rFonts w:asciiTheme="majorBidi" w:hAnsiTheme="majorBidi"/>
        </w:rPr>
        <w:t>Chatby</w:t>
      </w:r>
      <w:proofErr w:type="spellEnd"/>
      <w:r w:rsidRPr="009C3F42">
        <w:rPr>
          <w:rFonts w:asciiTheme="majorBidi" w:hAnsiTheme="majorBidi"/>
        </w:rPr>
        <w:t xml:space="preserve"> 21526, P.O. Box 832, Alexandria, Egypt.</w:t>
      </w:r>
    </w:p>
    <w:p w:rsidR="002B09F1" w:rsidRDefault="00813A58" w:rsidP="002B09F1">
      <w:pPr>
        <w:jc w:val="both"/>
      </w:pPr>
      <w:r>
        <w:rPr>
          <w:vertAlign w:val="superscript"/>
        </w:rPr>
        <w:t xml:space="preserve">2 </w:t>
      </w:r>
      <w:r w:rsidRPr="00D25BF6">
        <w:rPr>
          <w:lang w:bidi="ar-EG"/>
        </w:rPr>
        <w:t>Alexandria University,</w:t>
      </w:r>
      <w:r>
        <w:rPr>
          <w:lang w:bidi="ar-EG"/>
        </w:rPr>
        <w:t xml:space="preserve"> </w:t>
      </w:r>
      <w:r w:rsidRPr="00D25BF6">
        <w:t>Medical Research Institute,</w:t>
      </w:r>
      <w:r>
        <w:t xml:space="preserve"> </w:t>
      </w:r>
      <w:r w:rsidRPr="009C3F42">
        <w:rPr>
          <w:rFonts w:asciiTheme="majorBidi" w:hAnsiTheme="majorBidi"/>
        </w:rPr>
        <w:t>Department of Biochemistry,</w:t>
      </w:r>
      <w:r>
        <w:rPr>
          <w:rFonts w:asciiTheme="majorBidi" w:hAnsiTheme="majorBidi"/>
        </w:rPr>
        <w:t xml:space="preserve"> </w:t>
      </w:r>
      <w:r w:rsidRPr="0066383F">
        <w:t>Alexandria, Egypt.</w:t>
      </w:r>
    </w:p>
    <w:p w:rsidR="00DC433A" w:rsidRPr="00D81022" w:rsidRDefault="002B09F1" w:rsidP="002B09F1">
      <w:pPr>
        <w:jc w:val="both"/>
        <w:rPr>
          <w:color w:val="0000FF"/>
          <w:sz w:val="36"/>
          <w:szCs w:val="36"/>
        </w:rPr>
      </w:pPr>
      <w:r>
        <w:rPr>
          <w:vertAlign w:val="superscript"/>
        </w:rPr>
        <w:t xml:space="preserve">3 </w:t>
      </w:r>
      <w:r w:rsidR="00280FAF">
        <w:rPr>
          <w:lang w:bidi="ar-EG"/>
        </w:rPr>
        <w:t>European Egyptian Pharmaceutical Industries, Alexandria, Egypt</w:t>
      </w:r>
    </w:p>
    <w:p w:rsidR="002B09F1" w:rsidRDefault="002B09F1" w:rsidP="00813A58">
      <w:pPr>
        <w:pStyle w:val="Default"/>
        <w:ind w:firstLine="720"/>
        <w:jc w:val="both"/>
        <w:rPr>
          <w:rFonts w:asciiTheme="majorBidi" w:hAnsiTheme="majorBidi"/>
        </w:rPr>
      </w:pPr>
    </w:p>
    <w:p w:rsidR="00813A58" w:rsidRPr="009C3F42" w:rsidRDefault="00813A58" w:rsidP="00813A58">
      <w:pPr>
        <w:pStyle w:val="Default"/>
        <w:ind w:firstLine="720"/>
        <w:jc w:val="both"/>
        <w:rPr>
          <w:rFonts w:asciiTheme="majorBidi" w:hAnsiTheme="majorBidi"/>
          <w:lang w:bidi="ar-EG"/>
        </w:rPr>
      </w:pPr>
      <w:r w:rsidRPr="009C3F42">
        <w:rPr>
          <w:rFonts w:asciiTheme="majorBidi" w:hAnsiTheme="majorBidi"/>
        </w:rPr>
        <w:t xml:space="preserve">Hydroxyapatite nanoparticles (HAP NPs) has been widely used as a biocompatible ceramic in many areas of medicine, but mainly for contact with bone tissue, due to its resemblance to mineral bone. Risk assessment of HA NPs has attracted extensive attention despite their promising potential in many biomedical applications, that’s why </w:t>
      </w:r>
      <w:r>
        <w:rPr>
          <w:rFonts w:asciiTheme="majorBidi" w:hAnsiTheme="majorBidi"/>
        </w:rPr>
        <w:t>the present study</w:t>
      </w:r>
      <w:r w:rsidRPr="009C3F42">
        <w:rPr>
          <w:rFonts w:asciiTheme="majorBidi" w:hAnsiTheme="majorBidi"/>
        </w:rPr>
        <w:t xml:space="preserve"> aimed to investigate the </w:t>
      </w:r>
      <w:r w:rsidRPr="00C6729A">
        <w:rPr>
          <w:rFonts w:asciiTheme="majorBidi" w:hAnsiTheme="majorBidi"/>
        </w:rPr>
        <w:t>toxic</w:t>
      </w:r>
      <w:r w:rsidRPr="009C3F42">
        <w:rPr>
          <w:rFonts w:asciiTheme="majorBidi" w:hAnsiTheme="majorBidi"/>
        </w:rPr>
        <w:t xml:space="preserve"> effects of HAP NPs on the reproductive system </w:t>
      </w:r>
      <w:r w:rsidRPr="00C6729A">
        <w:rPr>
          <w:rFonts w:asciiTheme="majorBidi" w:hAnsiTheme="majorBidi"/>
        </w:rPr>
        <w:t xml:space="preserve">and its molecular parameters in male rat </w:t>
      </w:r>
      <w:r w:rsidRPr="009C3F42">
        <w:rPr>
          <w:rFonts w:asciiTheme="majorBidi" w:hAnsiTheme="majorBidi"/>
        </w:rPr>
        <w:t xml:space="preserve">and the protective role of nano-antioxidants (Chitosan CSNPs and curcumin </w:t>
      </w:r>
      <w:proofErr w:type="spellStart"/>
      <w:r w:rsidRPr="009C3F42">
        <w:rPr>
          <w:rFonts w:asciiTheme="majorBidi" w:hAnsiTheme="majorBidi"/>
        </w:rPr>
        <w:t>CurNPs</w:t>
      </w:r>
      <w:proofErr w:type="spellEnd"/>
      <w:r w:rsidRPr="009C3F42">
        <w:rPr>
          <w:rFonts w:asciiTheme="majorBidi" w:hAnsiTheme="majorBidi"/>
        </w:rPr>
        <w:t xml:space="preserve">) alleviating this toxicity. </w:t>
      </w:r>
      <w:r>
        <w:rPr>
          <w:rFonts w:asciiTheme="majorBidi" w:hAnsiTheme="majorBidi"/>
        </w:rPr>
        <w:t>The present</w:t>
      </w:r>
      <w:r w:rsidRPr="009C3F42">
        <w:rPr>
          <w:rFonts w:asciiTheme="majorBidi" w:hAnsiTheme="majorBidi"/>
        </w:rPr>
        <w:t xml:space="preserve"> results indicated that HAP NPs showed significant decrease in semen characteristics and testosterone level, 17-ketosteroid reductase, antioxidant enzymes (GST, SOD, CAT, GPx and TAC), and reduced glutathione in testes; </w:t>
      </w:r>
      <w:r w:rsidRPr="00C6729A">
        <w:rPr>
          <w:rFonts w:asciiTheme="majorBidi" w:hAnsiTheme="majorBidi"/>
        </w:rPr>
        <w:t>Total antioxidant capacity and total oxidative stress levels were determined to evaluate the oxidative injury.</w:t>
      </w:r>
      <w:r w:rsidRPr="009C3F42">
        <w:rPr>
          <w:rFonts w:asciiTheme="majorBidi" w:hAnsiTheme="majorBidi"/>
          <w:color w:val="FF0000"/>
        </w:rPr>
        <w:t xml:space="preserve"> </w:t>
      </w:r>
      <w:r w:rsidRPr="009C3F42">
        <w:rPr>
          <w:rFonts w:asciiTheme="majorBidi" w:hAnsiTheme="majorBidi"/>
        </w:rPr>
        <w:t xml:space="preserve">While, HAP NPs caused significant increase in LH and FSH, </w:t>
      </w:r>
      <w:r w:rsidRPr="00C6729A">
        <w:rPr>
          <w:rFonts w:asciiTheme="majorBidi" w:hAnsiTheme="majorBidi"/>
        </w:rPr>
        <w:t>abnormal sperm</w:t>
      </w:r>
      <w:r w:rsidRPr="009C3F42">
        <w:rPr>
          <w:rFonts w:asciiTheme="majorBidi" w:hAnsiTheme="majorBidi"/>
        </w:rPr>
        <w:t xml:space="preserve">, 17β-hydroxysteroid dehydrogenase, TBARs, NO, p53, </w:t>
      </w:r>
      <w:r w:rsidRPr="009C3F42">
        <w:rPr>
          <w:rFonts w:asciiTheme="majorBidi" w:hAnsiTheme="majorBidi"/>
          <w:color w:val="auto"/>
        </w:rPr>
        <w:t>TNFα</w:t>
      </w:r>
      <w:r w:rsidRPr="009C3F42">
        <w:rPr>
          <w:rFonts w:asciiTheme="majorBidi" w:hAnsiTheme="majorBidi"/>
        </w:rPr>
        <w:t xml:space="preserve">, interliukin-6 in testes. The DNA damage was also analyzed by suppression of the mtTFA, induction of UCP2 gene and </w:t>
      </w:r>
      <w:r w:rsidRPr="009C3F42">
        <w:rPr>
          <w:rFonts w:asciiTheme="majorBidi" w:hAnsiTheme="majorBidi"/>
          <w:color w:val="auto"/>
        </w:rPr>
        <w:t>8-OHdG</w:t>
      </w:r>
      <w:r w:rsidRPr="009C3F42">
        <w:rPr>
          <w:rFonts w:asciiTheme="majorBidi" w:hAnsiTheme="majorBidi"/>
        </w:rPr>
        <w:t xml:space="preserve"> level as indicators of genotoxicity. In conclusion, </w:t>
      </w:r>
      <w:r w:rsidRPr="009C3F42">
        <w:rPr>
          <w:rFonts w:asciiTheme="majorBidi" w:hAnsiTheme="majorBidi"/>
          <w:lang w:eastAsia="ar-EG" w:bidi="ar-EG"/>
        </w:rPr>
        <w:t xml:space="preserve">the presence of </w:t>
      </w:r>
      <w:r w:rsidRPr="009C3F42">
        <w:rPr>
          <w:rFonts w:asciiTheme="majorBidi" w:hAnsiTheme="majorBidi"/>
        </w:rPr>
        <w:t xml:space="preserve">CSNPs and </w:t>
      </w:r>
      <w:proofErr w:type="spellStart"/>
      <w:r w:rsidRPr="009C3F42">
        <w:rPr>
          <w:rFonts w:asciiTheme="majorBidi" w:hAnsiTheme="majorBidi"/>
        </w:rPr>
        <w:t>CurNPs</w:t>
      </w:r>
      <w:proofErr w:type="spellEnd"/>
      <w:r w:rsidRPr="009C3F42">
        <w:rPr>
          <w:rFonts w:asciiTheme="majorBidi" w:hAnsiTheme="majorBidi"/>
          <w:lang w:eastAsia="ar-EG" w:bidi="ar-EG"/>
        </w:rPr>
        <w:t xml:space="preserve"> with </w:t>
      </w:r>
      <w:r w:rsidRPr="009C3F42">
        <w:rPr>
          <w:rFonts w:asciiTheme="majorBidi" w:hAnsiTheme="majorBidi"/>
        </w:rPr>
        <w:t xml:space="preserve">HAP NPs showed </w:t>
      </w:r>
      <w:r w:rsidRPr="009C3F42">
        <w:rPr>
          <w:rFonts w:asciiTheme="majorBidi" w:hAnsiTheme="majorBidi"/>
          <w:lang w:eastAsia="ar-EG" w:bidi="ar-EG"/>
        </w:rPr>
        <w:t xml:space="preserve">obvious improvements in </w:t>
      </w:r>
      <w:r w:rsidRPr="009C3F42">
        <w:rPr>
          <w:rFonts w:asciiTheme="majorBidi" w:hAnsiTheme="majorBidi"/>
          <w:lang w:bidi="ar-EG"/>
        </w:rPr>
        <w:t>the activities of the antioxidant enzymes, reduced glutathione and improved sperm parameters also, alleviated its reproductive toxicity via its ameliorative effects on the fertility, testicular tissue functions, antioxidant system and hormonal status.</w:t>
      </w:r>
    </w:p>
    <w:p w:rsidR="00363668" w:rsidRDefault="00363668" w:rsidP="00AF61EB">
      <w:pPr>
        <w:ind w:firstLine="720"/>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E574C4" w:rsidRDefault="0068613C" w:rsidP="00E574C4">
      <w:pPr>
        <w:jc w:val="both"/>
        <w:rPr>
          <w:rFonts w:cs="Traditional Arabic"/>
          <w:sz w:val="26"/>
          <w:szCs w:val="31"/>
        </w:rPr>
      </w:pPr>
      <w:r w:rsidRPr="0068613C">
        <w:lastRenderedPageBreak/>
        <w:t>Mokhtar Ibrahim Yousef</w:t>
      </w:r>
      <w:r>
        <w:t xml:space="preserve"> has completed his PhD from Alexandria University</w:t>
      </w:r>
      <w:r w:rsidR="00786A0F">
        <w:t xml:space="preserve"> and </w:t>
      </w:r>
      <w:proofErr w:type="spellStart"/>
      <w:r w:rsidR="00786A0F" w:rsidRPr="009A786B">
        <w:rPr>
          <w:rFonts w:cs="Traditional Arabic"/>
          <w:sz w:val="26"/>
          <w:szCs w:val="31"/>
        </w:rPr>
        <w:t>Tromso</w:t>
      </w:r>
      <w:proofErr w:type="spellEnd"/>
      <w:r w:rsidR="00786A0F" w:rsidRPr="009A786B">
        <w:rPr>
          <w:rFonts w:cs="Traditional Arabic"/>
          <w:sz w:val="26"/>
          <w:szCs w:val="31"/>
        </w:rPr>
        <w:t xml:space="preserve"> University, </w:t>
      </w:r>
      <w:proofErr w:type="spellStart"/>
      <w:r w:rsidR="00786A0F" w:rsidRPr="009A786B">
        <w:rPr>
          <w:rFonts w:cs="Traditional Arabic"/>
          <w:sz w:val="26"/>
          <w:szCs w:val="31"/>
        </w:rPr>
        <w:t>Trmso</w:t>
      </w:r>
      <w:proofErr w:type="spellEnd"/>
      <w:r w:rsidR="00786A0F">
        <w:rPr>
          <w:rFonts w:cs="Traditional Arabic"/>
          <w:sz w:val="26"/>
          <w:szCs w:val="31"/>
        </w:rPr>
        <w:t xml:space="preserve">, </w:t>
      </w:r>
      <w:r w:rsidR="00786A0F" w:rsidRPr="009A786B">
        <w:rPr>
          <w:rFonts w:cs="Traditional Arabic"/>
          <w:sz w:val="26"/>
          <w:szCs w:val="31"/>
        </w:rPr>
        <w:t>Norway</w:t>
      </w:r>
      <w:r w:rsidR="00786A0F">
        <w:rPr>
          <w:rFonts w:cs="Traditional Arabic"/>
          <w:sz w:val="26"/>
          <w:szCs w:val="31"/>
        </w:rPr>
        <w:t>. P</w:t>
      </w:r>
      <w:r>
        <w:t xml:space="preserve">ostdoctoral studies from </w:t>
      </w:r>
      <w:proofErr w:type="spellStart"/>
      <w:r w:rsidR="00786A0F" w:rsidRPr="009A786B">
        <w:rPr>
          <w:rFonts w:cs="Traditional Arabic"/>
          <w:sz w:val="26"/>
          <w:szCs w:val="31"/>
        </w:rPr>
        <w:t>Tromso</w:t>
      </w:r>
      <w:proofErr w:type="spellEnd"/>
      <w:r w:rsidR="00786A0F" w:rsidRPr="009A786B">
        <w:rPr>
          <w:rFonts w:cs="Traditional Arabic"/>
          <w:sz w:val="26"/>
          <w:szCs w:val="31"/>
        </w:rPr>
        <w:t xml:space="preserve"> University,</w:t>
      </w:r>
      <w:r w:rsidR="00786A0F">
        <w:rPr>
          <w:rFonts w:cs="Traditional Arabic"/>
          <w:sz w:val="26"/>
          <w:szCs w:val="31"/>
        </w:rPr>
        <w:t xml:space="preserve"> </w:t>
      </w:r>
      <w:proofErr w:type="spellStart"/>
      <w:r w:rsidR="00786A0F" w:rsidRPr="009A786B">
        <w:rPr>
          <w:rFonts w:cs="Traditional Arabic"/>
          <w:sz w:val="26"/>
          <w:szCs w:val="31"/>
        </w:rPr>
        <w:t>Hohenheim</w:t>
      </w:r>
      <w:proofErr w:type="spellEnd"/>
      <w:r w:rsidR="00786A0F" w:rsidRPr="009A786B">
        <w:rPr>
          <w:rFonts w:cs="Traditional Arabic"/>
          <w:sz w:val="26"/>
          <w:szCs w:val="31"/>
        </w:rPr>
        <w:t xml:space="preserve"> University, Stuttgart, Germany, </w:t>
      </w:r>
      <w:r w:rsidR="00786A0F">
        <w:rPr>
          <w:rFonts w:cs="Traditional Arabic"/>
          <w:sz w:val="26"/>
          <w:szCs w:val="31"/>
        </w:rPr>
        <w:t xml:space="preserve">and </w:t>
      </w:r>
      <w:r w:rsidR="00786A0F" w:rsidRPr="009A786B">
        <w:rPr>
          <w:sz w:val="26"/>
          <w:szCs w:val="26"/>
        </w:rPr>
        <w:t>CHARITÉ-UNIVERSITÄ</w:t>
      </w:r>
      <w:r w:rsidR="00786A0F">
        <w:rPr>
          <w:sz w:val="26"/>
          <w:szCs w:val="26"/>
        </w:rPr>
        <w:t xml:space="preserve"> </w:t>
      </w:r>
      <w:r w:rsidR="00786A0F" w:rsidRPr="009A786B">
        <w:rPr>
          <w:sz w:val="26"/>
          <w:szCs w:val="26"/>
        </w:rPr>
        <w:t>TSMEDIZIN    BERLIN, Germany</w:t>
      </w:r>
      <w:r w:rsidR="00786A0F" w:rsidRPr="009A786B">
        <w:rPr>
          <w:rFonts w:cs="Traditional Arabic"/>
          <w:sz w:val="26"/>
          <w:szCs w:val="26"/>
        </w:rPr>
        <w:t xml:space="preserve">. </w:t>
      </w:r>
      <w:r w:rsidR="00786A0F">
        <w:rPr>
          <w:rFonts w:cs="Traditional Arabic"/>
          <w:sz w:val="26"/>
          <w:szCs w:val="26"/>
        </w:rPr>
        <w:t xml:space="preserve">He is the Vice President of Graduate Studies and Research, Alexandria University, and the former Deana of </w:t>
      </w:r>
      <w:r w:rsidR="00786A0F" w:rsidRPr="00786A0F">
        <w:rPr>
          <w:rFonts w:cs="Traditional Arabic"/>
          <w:sz w:val="26"/>
          <w:szCs w:val="31"/>
        </w:rPr>
        <w:t xml:space="preserve">Institute of </w:t>
      </w:r>
      <w:r w:rsidR="00786A0F" w:rsidRPr="00554EC9">
        <w:rPr>
          <w:rFonts w:cs="Traditional Arabic"/>
          <w:sz w:val="26"/>
          <w:szCs w:val="26"/>
        </w:rPr>
        <w:t xml:space="preserve">Graduate Studies and Research, Alexandria University, Egypt. He has published more than 130 papers in reputed journals </w:t>
      </w:r>
      <w:r w:rsidR="0031455A" w:rsidRPr="00554EC9">
        <w:rPr>
          <w:rFonts w:cs="Traditional Arabic"/>
          <w:sz w:val="26"/>
          <w:szCs w:val="26"/>
        </w:rPr>
        <w:t xml:space="preserve">and has been serving as an editorial board member of </w:t>
      </w:r>
      <w:r w:rsidR="00786A0F" w:rsidRPr="00554EC9">
        <w:rPr>
          <w:rFonts w:cs="Traditional Arabic"/>
          <w:sz w:val="26"/>
          <w:szCs w:val="26"/>
        </w:rPr>
        <w:t xml:space="preserve">Toxicology Journal. </w:t>
      </w:r>
      <w:r w:rsidR="00554EC9" w:rsidRPr="00554EC9">
        <w:rPr>
          <w:rFonts w:cs="Traditional Arabic"/>
          <w:sz w:val="26"/>
          <w:szCs w:val="26"/>
        </w:rPr>
        <w:t>He ha</w:t>
      </w:r>
      <w:r w:rsidR="00554EC9">
        <w:rPr>
          <w:rFonts w:cs="Traditional Arabic"/>
          <w:sz w:val="26"/>
          <w:szCs w:val="26"/>
        </w:rPr>
        <w:t>s</w:t>
      </w:r>
      <w:r w:rsidR="00554EC9" w:rsidRPr="00554EC9">
        <w:rPr>
          <w:rFonts w:cs="Traditional Arabic"/>
          <w:sz w:val="26"/>
          <w:szCs w:val="26"/>
        </w:rPr>
        <w:t xml:space="preserve"> </w:t>
      </w:r>
      <w:r w:rsidR="00554EC9">
        <w:rPr>
          <w:rFonts w:cs="Traditional Arabic"/>
          <w:sz w:val="26"/>
          <w:szCs w:val="26"/>
        </w:rPr>
        <w:t>c</w:t>
      </w:r>
      <w:r w:rsidR="00554EC9" w:rsidRPr="00554EC9">
        <w:rPr>
          <w:rFonts w:cs="Traditional Arabic"/>
          <w:sz w:val="26"/>
          <w:szCs w:val="26"/>
        </w:rPr>
        <w:t xml:space="preserve">itation in Scopus: </w:t>
      </w:r>
      <w:r w:rsidR="00554EC9" w:rsidRPr="00554EC9">
        <w:rPr>
          <w:rFonts w:cs="Traditional Arabic"/>
          <w:sz w:val="26"/>
          <w:szCs w:val="31"/>
        </w:rPr>
        <w:t>3201and h. index</w:t>
      </w:r>
      <w:r w:rsidR="00554EC9">
        <w:rPr>
          <w:rFonts w:cs="Traditional Arabic"/>
          <w:sz w:val="26"/>
          <w:szCs w:val="31"/>
        </w:rPr>
        <w:t xml:space="preserve">: </w:t>
      </w:r>
      <w:r w:rsidR="00554EC9" w:rsidRPr="00554EC9">
        <w:rPr>
          <w:rFonts w:cs="Traditional Arabic"/>
          <w:sz w:val="26"/>
          <w:szCs w:val="31"/>
        </w:rPr>
        <w:t>32</w:t>
      </w:r>
      <w:r w:rsidR="0031455A" w:rsidRPr="00554EC9">
        <w:rPr>
          <w:rFonts w:cs="Traditional Arabic"/>
          <w:sz w:val="26"/>
          <w:szCs w:val="31"/>
        </w:rPr>
        <w:t>.</w:t>
      </w:r>
      <w:r w:rsidR="00B03DB8" w:rsidRPr="00554EC9">
        <w:rPr>
          <w:rFonts w:cs="Traditional Arabic"/>
          <w:sz w:val="26"/>
          <w:szCs w:val="31"/>
        </w:rPr>
        <w:t xml:space="preserve"> </w:t>
      </w:r>
      <w:r w:rsidR="00554EC9">
        <w:rPr>
          <w:rFonts w:cs="Traditional Arabic"/>
          <w:sz w:val="26"/>
          <w:szCs w:val="31"/>
        </w:rPr>
        <w:t>He has participated in many International C</w:t>
      </w:r>
      <w:r w:rsidR="00E574C4">
        <w:rPr>
          <w:rFonts w:cs="Traditional Arabic"/>
          <w:sz w:val="26"/>
          <w:szCs w:val="31"/>
        </w:rPr>
        <w:t>onferences.</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66846"/>
    <w:rsid w:val="00074C9C"/>
    <w:rsid w:val="000D1EE1"/>
    <w:rsid w:val="000D6718"/>
    <w:rsid w:val="001B06AE"/>
    <w:rsid w:val="001D5D8E"/>
    <w:rsid w:val="00265E72"/>
    <w:rsid w:val="00280FAF"/>
    <w:rsid w:val="002B09F1"/>
    <w:rsid w:val="002C359D"/>
    <w:rsid w:val="002C3D9B"/>
    <w:rsid w:val="0031455A"/>
    <w:rsid w:val="00363668"/>
    <w:rsid w:val="00384441"/>
    <w:rsid w:val="003A3C5A"/>
    <w:rsid w:val="00432983"/>
    <w:rsid w:val="00437503"/>
    <w:rsid w:val="00441F91"/>
    <w:rsid w:val="004865D0"/>
    <w:rsid w:val="004E62DD"/>
    <w:rsid w:val="004F0441"/>
    <w:rsid w:val="00554EC9"/>
    <w:rsid w:val="005B4B32"/>
    <w:rsid w:val="00654259"/>
    <w:rsid w:val="0068613C"/>
    <w:rsid w:val="007341F9"/>
    <w:rsid w:val="007471A8"/>
    <w:rsid w:val="0078229D"/>
    <w:rsid w:val="00786A0F"/>
    <w:rsid w:val="007B0D32"/>
    <w:rsid w:val="007D00E7"/>
    <w:rsid w:val="007D233A"/>
    <w:rsid w:val="007D5AD0"/>
    <w:rsid w:val="007D65C7"/>
    <w:rsid w:val="008046CD"/>
    <w:rsid w:val="00813A58"/>
    <w:rsid w:val="008747F9"/>
    <w:rsid w:val="008E2F78"/>
    <w:rsid w:val="008E737B"/>
    <w:rsid w:val="00912F54"/>
    <w:rsid w:val="00935D7B"/>
    <w:rsid w:val="00983D1D"/>
    <w:rsid w:val="009A399F"/>
    <w:rsid w:val="009E52D9"/>
    <w:rsid w:val="00A30727"/>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574C4"/>
    <w:rsid w:val="00E63452"/>
    <w:rsid w:val="00ED2B89"/>
    <w:rsid w:val="00F01247"/>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17005A-FD7A-41EC-A845-A7C97A81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Default">
    <w:name w:val="Default"/>
    <w:rsid w:val="00813A58"/>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Mokhtar</cp:lastModifiedBy>
  <cp:revision>26</cp:revision>
  <dcterms:created xsi:type="dcterms:W3CDTF">2018-07-20T09:04:00Z</dcterms:created>
  <dcterms:modified xsi:type="dcterms:W3CDTF">2018-07-21T09:02:00Z</dcterms:modified>
</cp:coreProperties>
</file>