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C35" w:rsidRPr="00920C00" w:rsidRDefault="006E3C35" w:rsidP="006E3C35">
      <w:pPr>
        <w:pStyle w:val="BodyText"/>
        <w:spacing w:before="73" w:line="198" w:lineRule="exact"/>
        <w:ind w:right="5987"/>
        <w:rPr>
          <w:sz w:val="24"/>
          <w:szCs w:val="24"/>
        </w:rPr>
      </w:pPr>
      <w:r w:rsidRPr="00920C00">
        <w:rPr>
          <w:sz w:val="24"/>
          <w:szCs w:val="24"/>
        </w:rPr>
        <w:t>Microbial Informatics</w:t>
      </w:r>
      <w:r w:rsidR="00920C00">
        <w:rPr>
          <w:sz w:val="24"/>
          <w:szCs w:val="24"/>
        </w:rPr>
        <w:t>:</w:t>
      </w:r>
      <w:r w:rsidRPr="00920C00">
        <w:rPr>
          <w:sz w:val="24"/>
          <w:szCs w:val="24"/>
        </w:rPr>
        <w:t xml:space="preserve"> Tools for Microbial Genome Analysis</w:t>
      </w:r>
    </w:p>
    <w:p w:rsidR="006E3C35" w:rsidRDefault="006E3C35" w:rsidP="006E3C35">
      <w:pPr>
        <w:pStyle w:val="BodyText"/>
        <w:rPr>
          <w:sz w:val="22"/>
          <w:szCs w:val="22"/>
        </w:rPr>
      </w:pPr>
    </w:p>
    <w:p w:rsidR="006E3C35" w:rsidRPr="006E3C35" w:rsidRDefault="006E3C35" w:rsidP="006E3C35">
      <w:pPr>
        <w:pStyle w:val="BodyText"/>
        <w:rPr>
          <w:sz w:val="22"/>
          <w:szCs w:val="22"/>
        </w:rPr>
      </w:pPr>
      <w:r w:rsidRPr="006E3C35">
        <w:rPr>
          <w:sz w:val="22"/>
          <w:szCs w:val="22"/>
        </w:rPr>
        <w:t>Amit Mathews, Canadian Food Inspection Agency</w:t>
      </w:r>
    </w:p>
    <w:p w:rsidR="006E3C35" w:rsidRDefault="006E3C35" w:rsidP="006E3C35">
      <w:pPr>
        <w:pStyle w:val="BodyText"/>
        <w:spacing w:before="3"/>
        <w:rPr>
          <w:rFonts w:ascii="Arial"/>
          <w:sz w:val="21"/>
        </w:rPr>
      </w:pPr>
    </w:p>
    <w:p w:rsidR="006E3C35" w:rsidRDefault="006E3C35" w:rsidP="006E3C35">
      <w:pPr>
        <w:rPr>
          <w:rFonts w:ascii="Arial"/>
          <w:sz w:val="21"/>
        </w:rPr>
        <w:sectPr w:rsidR="006E3C35" w:rsidSect="006E3C35">
          <w:headerReference w:type="default" r:id="rId6"/>
          <w:footerReference w:type="default" r:id="rId7"/>
          <w:pgSz w:w="11910" w:h="16840"/>
          <w:pgMar w:top="1740" w:right="600" w:bottom="840" w:left="620" w:header="541" w:footer="642" w:gutter="0"/>
          <w:cols w:space="720"/>
        </w:sectPr>
      </w:pPr>
    </w:p>
    <w:p w:rsidR="006E3C35" w:rsidRDefault="006E3C35" w:rsidP="006E3C35">
      <w:pPr>
        <w:pStyle w:val="Heading3"/>
        <w:spacing w:before="147"/>
        <w:ind w:left="0"/>
        <w:jc w:val="both"/>
      </w:pPr>
      <w:r>
        <w:rPr>
          <w:color w:val="BF5A14"/>
        </w:rPr>
        <w:lastRenderedPageBreak/>
        <w:t>Abstract (300 word limit)</w:t>
      </w:r>
    </w:p>
    <w:p w:rsidR="006E3C35" w:rsidRPr="003C4E94" w:rsidRDefault="006E3C35" w:rsidP="006E3C35">
      <w:pPr>
        <w:jc w:val="both"/>
      </w:pPr>
      <w:r w:rsidRPr="003C4E94">
        <w:t xml:space="preserve">Gene finding can be broadly defined as a process of identification of genomic DNA regions encoding proteins. This is a powerful technique that has vast applications in structural genomics, functional genomics and genome studies. While the genomes of several bacterial species have been sequenced over the last decade, transforming such raw sequence data into information pertaining to genes that identify the organisms and ascertain the organisms’ virulence profile remains a key challenge. </w:t>
      </w:r>
      <w:r>
        <w:t xml:space="preserve">This is where Microbial Bioinformatics becomes a key tool, for microbial genome analysis. The </w:t>
      </w:r>
      <w:proofErr w:type="spellStart"/>
      <w:r>
        <w:t>GeneSeekr</w:t>
      </w:r>
      <w:proofErr w:type="spellEnd"/>
      <w:r>
        <w:t xml:space="preserve"> is one such</w:t>
      </w:r>
      <w:r w:rsidRPr="003C4E94">
        <w:t xml:space="preserve"> powerful bioinformatics tool developed by </w:t>
      </w:r>
      <w:r>
        <w:t>researchers at the Canadian Food Inspection Agency</w:t>
      </w:r>
      <w:r w:rsidRPr="003C4E94">
        <w:t xml:space="preserve"> to address this challenge. It does not work like the multitude of gene prediction programs available today; tools that look for Open Reading Frames (ORFs), Start/Stop Codons, gene density, Ribosomal binding site (Shine-</w:t>
      </w:r>
      <w:proofErr w:type="spellStart"/>
      <w:r w:rsidRPr="003C4E94">
        <w:t>Dalgarno</w:t>
      </w:r>
      <w:proofErr w:type="spellEnd"/>
      <w:r w:rsidRPr="003C4E94">
        <w:t xml:space="preserve"> sequence), repetitive sequences etc. In sharp contrast, the </w:t>
      </w:r>
      <w:proofErr w:type="spellStart"/>
      <w:r w:rsidRPr="003C4E94">
        <w:t>GeneSeekr</w:t>
      </w:r>
      <w:proofErr w:type="spellEnd"/>
      <w:r w:rsidRPr="003C4E94">
        <w:t xml:space="preserve"> pattern searches through raw sequence data utilizing full length gene sequences to “seek” genes of interest; hence the name – </w:t>
      </w:r>
      <w:proofErr w:type="spellStart"/>
      <w:r w:rsidRPr="003C4E94">
        <w:t>GeneSeekr</w:t>
      </w:r>
      <w:proofErr w:type="spellEnd"/>
      <w:r w:rsidRPr="003C4E94">
        <w:t xml:space="preserve">. This versatile tool has been applied to find genes of interest in a variety of bacterial species that include </w:t>
      </w:r>
      <w:r w:rsidRPr="003C4E94">
        <w:rPr>
          <w:i/>
        </w:rPr>
        <w:t>E. coli</w:t>
      </w:r>
      <w:r w:rsidRPr="003C4E94">
        <w:t xml:space="preserve">, </w:t>
      </w:r>
      <w:r w:rsidRPr="003C4E94">
        <w:rPr>
          <w:i/>
        </w:rPr>
        <w:t>Bacillus</w:t>
      </w:r>
      <w:r w:rsidRPr="003C4E94">
        <w:t xml:space="preserve">, </w:t>
      </w:r>
      <w:r w:rsidRPr="003C4E94">
        <w:rPr>
          <w:i/>
        </w:rPr>
        <w:t>Salmonella</w:t>
      </w:r>
      <w:r w:rsidRPr="003C4E94">
        <w:t xml:space="preserve">, </w:t>
      </w:r>
      <w:r w:rsidRPr="003C4E94">
        <w:rPr>
          <w:i/>
        </w:rPr>
        <w:t>Listeria</w:t>
      </w:r>
      <w:r w:rsidRPr="003C4E94">
        <w:t xml:space="preserve">, </w:t>
      </w:r>
      <w:r w:rsidRPr="003C4E94">
        <w:rPr>
          <w:i/>
        </w:rPr>
        <w:t>Staphylococcus</w:t>
      </w:r>
      <w:r w:rsidRPr="003C4E94">
        <w:t xml:space="preserve">, </w:t>
      </w:r>
      <w:r w:rsidRPr="003C4E94">
        <w:rPr>
          <w:i/>
        </w:rPr>
        <w:t>Campylobacter</w:t>
      </w:r>
      <w:r>
        <w:t xml:space="preserve"> etc.</w:t>
      </w:r>
      <w:r w:rsidRPr="003C4E94">
        <w:t xml:space="preserve"> Existing gene targets (identification </w:t>
      </w:r>
      <w:r>
        <w:t xml:space="preserve">genes </w:t>
      </w:r>
      <w:r w:rsidRPr="003C4E94">
        <w:t>as well as virulence profile</w:t>
      </w:r>
      <w:r>
        <w:t xml:space="preserve"> genes</w:t>
      </w:r>
      <w:r w:rsidRPr="003C4E94">
        <w:t xml:space="preserve">) from several compendium methods for a number of species have been transferred over to the </w:t>
      </w:r>
      <w:proofErr w:type="spellStart"/>
      <w:r w:rsidRPr="003C4E94">
        <w:t>GeneSeekr</w:t>
      </w:r>
      <w:proofErr w:type="spellEnd"/>
      <w:r>
        <w:t xml:space="preserve"> making an analysis available for researchers across CFIA whenever they sequence a pathogenic bacterial genome</w:t>
      </w:r>
      <w:r w:rsidRPr="003C4E94">
        <w:t xml:space="preserve">. </w:t>
      </w:r>
      <w:r>
        <w:t>For some</w:t>
      </w:r>
      <w:r w:rsidRPr="003C4E94">
        <w:t xml:space="preserve"> techniques (E. coli </w:t>
      </w:r>
      <w:proofErr w:type="spellStart"/>
      <w:r w:rsidRPr="003C4E94">
        <w:t>verotoxin</w:t>
      </w:r>
      <w:proofErr w:type="spellEnd"/>
      <w:r w:rsidRPr="003C4E94">
        <w:t xml:space="preserve"> subtyping for example</w:t>
      </w:r>
      <w:r>
        <w:t xml:space="preserve">), the </w:t>
      </w:r>
      <w:proofErr w:type="spellStart"/>
      <w:r>
        <w:t>GeneSeekr</w:t>
      </w:r>
      <w:proofErr w:type="spellEnd"/>
      <w:r>
        <w:t xml:space="preserve"> offers a </w:t>
      </w:r>
      <w:r w:rsidRPr="003C4E94">
        <w:t xml:space="preserve">highly accurate and a far superior alternative for </w:t>
      </w:r>
      <w:r>
        <w:t xml:space="preserve">gene </w:t>
      </w:r>
      <w:r w:rsidRPr="003C4E94">
        <w:t>subtyping</w:t>
      </w:r>
      <w:r>
        <w:t xml:space="preserve"> along with gene finding</w:t>
      </w:r>
      <w:r w:rsidRPr="003C4E94">
        <w:t>.</w:t>
      </w:r>
      <w:r>
        <w:t xml:space="preserve"> Whole Genome Sequencing has been a game changer but it’s Microbial Bioinformatics that has shifted the paradigm and opened many exciting possibilities for the future. </w:t>
      </w:r>
    </w:p>
    <w:p w:rsidR="006E3C35" w:rsidRPr="003607AE" w:rsidRDefault="006E3C35" w:rsidP="003607AE">
      <w:pPr>
        <w:pStyle w:val="Heading3"/>
        <w:spacing w:before="74"/>
        <w:ind w:left="0" w:firstLine="383"/>
      </w:pPr>
      <w:r>
        <w:rPr>
          <w:b w:val="0"/>
        </w:rPr>
        <w:br w:type="column"/>
      </w:r>
      <w:r>
        <w:rPr>
          <w:color w:val="BF5A14"/>
        </w:rPr>
        <w:lastRenderedPageBreak/>
        <w:t>Recent Publications (minimum 5)</w:t>
      </w:r>
    </w:p>
    <w:p w:rsidR="006E3C35" w:rsidRPr="00FD7478" w:rsidRDefault="00FD7478" w:rsidP="006E3C35">
      <w:pPr>
        <w:pStyle w:val="ListParagraph"/>
        <w:numPr>
          <w:ilvl w:val="0"/>
          <w:numId w:val="1"/>
        </w:numPr>
        <w:tabs>
          <w:tab w:val="left" w:pos="384"/>
        </w:tabs>
        <w:spacing w:before="103" w:line="216" w:lineRule="exact"/>
        <w:ind w:right="138" w:hanging="283"/>
        <w:rPr>
          <w:rFonts w:ascii="Tw Cen MT" w:hAnsi="Tw Cen MT"/>
          <w:sz w:val="16"/>
          <w:szCs w:val="16"/>
        </w:rPr>
      </w:pPr>
      <w:r>
        <w:rPr>
          <w:rFonts w:ascii="Tw Cen MT" w:hAnsi="Tw Cen MT"/>
          <w:sz w:val="16"/>
          <w:szCs w:val="16"/>
        </w:rPr>
        <w:t>Thomas MC, Janzen TW, Huszczynski G, Mathews A and Amoako KK. 2017</w:t>
      </w:r>
      <w:r w:rsidR="006E3C35" w:rsidRPr="00FD7478">
        <w:rPr>
          <w:rFonts w:ascii="Tw Cen MT" w:hAnsi="Tw Cen MT"/>
          <w:sz w:val="16"/>
          <w:szCs w:val="16"/>
        </w:rPr>
        <w:t>.</w:t>
      </w:r>
      <w:r>
        <w:rPr>
          <w:rFonts w:ascii="Tw Cen MT" w:hAnsi="Tw Cen MT"/>
          <w:sz w:val="16"/>
          <w:szCs w:val="16"/>
        </w:rPr>
        <w:t xml:space="preserve"> Development of a novel multiplexed qPCR and Pyrosequencing method for the detection of human pathogenic </w:t>
      </w:r>
      <w:proofErr w:type="spellStart"/>
      <w:r>
        <w:rPr>
          <w:rFonts w:ascii="Tw Cen MT" w:hAnsi="Tw Cen MT"/>
          <w:sz w:val="16"/>
          <w:szCs w:val="16"/>
        </w:rPr>
        <w:t>yerisiniae</w:t>
      </w:r>
      <w:proofErr w:type="spellEnd"/>
      <w:r>
        <w:rPr>
          <w:rFonts w:ascii="Tw Cen MT" w:hAnsi="Tw Cen MT"/>
          <w:sz w:val="16"/>
          <w:szCs w:val="16"/>
        </w:rPr>
        <w:t xml:space="preserve">. International </w:t>
      </w:r>
      <w:r w:rsidRPr="003607AE">
        <w:rPr>
          <w:rFonts w:ascii="Tw Cen MT" w:hAnsi="Tw Cen MT"/>
          <w:i/>
          <w:sz w:val="16"/>
          <w:szCs w:val="16"/>
        </w:rPr>
        <w:t>Journal of Food Microbiology</w:t>
      </w:r>
      <w:r>
        <w:rPr>
          <w:rFonts w:ascii="Tw Cen MT" w:hAnsi="Tw Cen MT"/>
          <w:sz w:val="16"/>
          <w:szCs w:val="16"/>
        </w:rPr>
        <w:t>. 257 (2017): 247-253</w:t>
      </w:r>
    </w:p>
    <w:p w:rsidR="006E3C35" w:rsidRPr="00FD7478" w:rsidRDefault="007A2127" w:rsidP="006E3C35">
      <w:pPr>
        <w:pStyle w:val="ListParagraph"/>
        <w:numPr>
          <w:ilvl w:val="0"/>
          <w:numId w:val="1"/>
        </w:numPr>
        <w:tabs>
          <w:tab w:val="left" w:pos="384"/>
        </w:tabs>
        <w:spacing w:line="216" w:lineRule="exact"/>
        <w:ind w:right="137" w:hanging="283"/>
        <w:rPr>
          <w:rFonts w:ascii="Tw Cen MT" w:hAnsi="Tw Cen MT"/>
          <w:sz w:val="16"/>
          <w:szCs w:val="16"/>
        </w:rPr>
      </w:pPr>
      <w:r>
        <w:rPr>
          <w:rFonts w:ascii="Tw Cen MT" w:hAnsi="Tw Cen MT"/>
          <w:sz w:val="16"/>
          <w:szCs w:val="16"/>
        </w:rPr>
        <w:t xml:space="preserve">Carrillo </w:t>
      </w:r>
      <w:bookmarkStart w:id="0" w:name="_GoBack"/>
      <w:bookmarkEnd w:id="0"/>
      <w:r w:rsidR="00FD7478">
        <w:rPr>
          <w:rFonts w:ascii="Tw Cen MT" w:hAnsi="Tw Cen MT"/>
          <w:sz w:val="16"/>
          <w:szCs w:val="16"/>
        </w:rPr>
        <w:t xml:space="preserve">Catherine D, Koziol A, Mathews A, Goji N, Lambert D, Huszczynski </w:t>
      </w:r>
      <w:r w:rsidR="003607AE">
        <w:rPr>
          <w:rFonts w:ascii="Tw Cen MT" w:hAnsi="Tw Cen MT"/>
          <w:sz w:val="16"/>
          <w:szCs w:val="16"/>
        </w:rPr>
        <w:t>G, Gauthier M, Amoako KK and Blais BW. 2016. Comparative Evaluation of Genomic and Laboratory Approaches for determination of Shiga Toxin Subtypes in Escherichia coli</w:t>
      </w:r>
      <w:r w:rsidR="006E3C35" w:rsidRPr="00FD7478">
        <w:rPr>
          <w:rFonts w:ascii="Tw Cen MT" w:hAnsi="Tw Cen MT"/>
          <w:sz w:val="16"/>
          <w:szCs w:val="16"/>
        </w:rPr>
        <w:t>.</w:t>
      </w:r>
      <w:r w:rsidR="003607AE">
        <w:rPr>
          <w:rFonts w:ascii="Tw Cen MT" w:hAnsi="Tw Cen MT"/>
          <w:sz w:val="16"/>
          <w:szCs w:val="16"/>
        </w:rPr>
        <w:t xml:space="preserve"> </w:t>
      </w:r>
      <w:r w:rsidR="003607AE" w:rsidRPr="003607AE">
        <w:rPr>
          <w:rFonts w:ascii="Tw Cen MT" w:hAnsi="Tw Cen MT"/>
          <w:i/>
          <w:sz w:val="16"/>
          <w:szCs w:val="16"/>
        </w:rPr>
        <w:t>Journal of Food Protection</w:t>
      </w:r>
      <w:r w:rsidR="003607AE">
        <w:rPr>
          <w:rFonts w:ascii="Tw Cen MT" w:hAnsi="Tw Cen MT"/>
          <w:sz w:val="16"/>
          <w:szCs w:val="16"/>
        </w:rPr>
        <w:t>. 79(12): 2078-2085.</w:t>
      </w:r>
    </w:p>
    <w:p w:rsidR="006E3C35" w:rsidRPr="00FD7478" w:rsidRDefault="003607AE" w:rsidP="006E3C35">
      <w:pPr>
        <w:pStyle w:val="ListParagraph"/>
        <w:numPr>
          <w:ilvl w:val="0"/>
          <w:numId w:val="1"/>
        </w:numPr>
        <w:tabs>
          <w:tab w:val="left" w:pos="384"/>
        </w:tabs>
        <w:spacing w:line="216" w:lineRule="exact"/>
        <w:ind w:right="138" w:hanging="283"/>
        <w:rPr>
          <w:rFonts w:ascii="Tw Cen MT" w:hAnsi="Tw Cen MT"/>
          <w:sz w:val="16"/>
          <w:szCs w:val="16"/>
        </w:rPr>
      </w:pPr>
      <w:r>
        <w:rPr>
          <w:rFonts w:ascii="Tw Cen MT" w:hAnsi="Tw Cen MT"/>
          <w:sz w:val="16"/>
          <w:szCs w:val="16"/>
        </w:rPr>
        <w:t>Goji N, Mathews A, Huszczynski G, Laing CR, Gannon VPJ, Graham MR and Amoako KK</w:t>
      </w:r>
      <w:r w:rsidR="006E3C35" w:rsidRPr="00FD7478">
        <w:rPr>
          <w:rFonts w:ascii="Tw Cen MT" w:hAnsi="Tw Cen MT"/>
          <w:sz w:val="16"/>
          <w:szCs w:val="16"/>
        </w:rPr>
        <w:t>.</w:t>
      </w:r>
      <w:r>
        <w:rPr>
          <w:rFonts w:ascii="Tw Cen MT" w:hAnsi="Tw Cen MT"/>
          <w:sz w:val="16"/>
          <w:szCs w:val="16"/>
        </w:rPr>
        <w:t xml:space="preserve"> 2015. A new pyrosequencing assay for rapid detection and genotyping of Shiga toxin, intimin, and O157-specific </w:t>
      </w:r>
      <w:proofErr w:type="spellStart"/>
      <w:r>
        <w:rPr>
          <w:rFonts w:ascii="Tw Cen MT" w:hAnsi="Tw Cen MT"/>
          <w:sz w:val="16"/>
          <w:szCs w:val="16"/>
        </w:rPr>
        <w:t>rfbE</w:t>
      </w:r>
      <w:proofErr w:type="spellEnd"/>
      <w:r>
        <w:rPr>
          <w:rFonts w:ascii="Tw Cen MT" w:hAnsi="Tw Cen MT"/>
          <w:sz w:val="16"/>
          <w:szCs w:val="16"/>
        </w:rPr>
        <w:t xml:space="preserve"> genes of Escherichia coli. </w:t>
      </w:r>
      <w:r w:rsidRPr="003607AE">
        <w:rPr>
          <w:rFonts w:ascii="Tw Cen MT" w:hAnsi="Tw Cen MT"/>
          <w:i/>
          <w:sz w:val="16"/>
          <w:szCs w:val="16"/>
        </w:rPr>
        <w:t>Journal of Microbiological Methods</w:t>
      </w:r>
      <w:r>
        <w:rPr>
          <w:rFonts w:ascii="Tw Cen MT" w:hAnsi="Tw Cen MT"/>
          <w:sz w:val="16"/>
          <w:szCs w:val="16"/>
        </w:rPr>
        <w:t xml:space="preserve">. 109: 167-179. </w:t>
      </w:r>
    </w:p>
    <w:p w:rsidR="006E3C35" w:rsidRPr="003607AE" w:rsidRDefault="003607AE" w:rsidP="006E3C35">
      <w:pPr>
        <w:pStyle w:val="ListParagraph"/>
        <w:numPr>
          <w:ilvl w:val="0"/>
          <w:numId w:val="1"/>
        </w:numPr>
        <w:tabs>
          <w:tab w:val="left" w:pos="384"/>
        </w:tabs>
        <w:spacing w:before="92" w:line="218" w:lineRule="exact"/>
        <w:ind w:hanging="283"/>
        <w:rPr>
          <w:rFonts w:ascii="Tw Cen MT" w:hAnsi="Tw Cen MT"/>
          <w:sz w:val="16"/>
          <w:szCs w:val="16"/>
        </w:rPr>
      </w:pPr>
      <w:r w:rsidRPr="003607AE">
        <w:rPr>
          <w:rFonts w:ascii="Tw Cen MT" w:hAnsi="Tw Cen MT"/>
          <w:sz w:val="16"/>
          <w:szCs w:val="16"/>
        </w:rPr>
        <w:t xml:space="preserve">Mathews A, Holland L and </w:t>
      </w:r>
      <w:proofErr w:type="spellStart"/>
      <w:r w:rsidRPr="003607AE">
        <w:rPr>
          <w:rFonts w:ascii="Tw Cen MT" w:hAnsi="Tw Cen MT"/>
          <w:sz w:val="16"/>
          <w:szCs w:val="16"/>
        </w:rPr>
        <w:t>Yankulov</w:t>
      </w:r>
      <w:proofErr w:type="spellEnd"/>
      <w:r w:rsidRPr="003607AE">
        <w:rPr>
          <w:rFonts w:ascii="Tw Cen MT" w:hAnsi="Tw Cen MT"/>
          <w:sz w:val="16"/>
          <w:szCs w:val="16"/>
        </w:rPr>
        <w:t xml:space="preserve"> K. 2009. The interaction between EAP30 and ELL is modulated by MCM2. </w:t>
      </w:r>
      <w:r w:rsidRPr="003607AE">
        <w:rPr>
          <w:rFonts w:ascii="Tw Cen MT" w:hAnsi="Tw Cen MT"/>
          <w:i/>
          <w:sz w:val="16"/>
          <w:szCs w:val="16"/>
        </w:rPr>
        <w:t>FEBS Letters</w:t>
      </w:r>
      <w:r w:rsidRPr="003607AE">
        <w:rPr>
          <w:rFonts w:ascii="Tw Cen MT" w:hAnsi="Tw Cen MT"/>
          <w:sz w:val="16"/>
          <w:szCs w:val="16"/>
        </w:rPr>
        <w:t>. 583: 3431-3436</w:t>
      </w:r>
      <w:r w:rsidR="006E3C35" w:rsidRPr="003607AE">
        <w:rPr>
          <w:rFonts w:ascii="Tw Cen MT" w:hAnsi="Tw Cen MT"/>
          <w:sz w:val="16"/>
          <w:szCs w:val="16"/>
        </w:rPr>
        <w:t>.</w:t>
      </w:r>
    </w:p>
    <w:p w:rsidR="006E3C35" w:rsidRPr="00FD7478" w:rsidRDefault="006E3C35" w:rsidP="006E3C35">
      <w:pPr>
        <w:pStyle w:val="BodyText"/>
        <w:spacing w:before="85" w:line="216" w:lineRule="exact"/>
        <w:ind w:left="383" w:right="138" w:hanging="284"/>
        <w:jc w:val="both"/>
        <w:rPr>
          <w:sz w:val="16"/>
          <w:szCs w:val="16"/>
        </w:rPr>
      </w:pPr>
      <w:r w:rsidRPr="00FD7478">
        <w:rPr>
          <w:sz w:val="16"/>
          <w:szCs w:val="16"/>
        </w:rPr>
        <w:t xml:space="preserve">5. </w:t>
      </w:r>
      <w:r w:rsidR="00920C00">
        <w:rPr>
          <w:sz w:val="16"/>
          <w:szCs w:val="16"/>
        </w:rPr>
        <w:t xml:space="preserve"> </w:t>
      </w:r>
      <w:proofErr w:type="spellStart"/>
      <w:r w:rsidR="003607AE">
        <w:rPr>
          <w:sz w:val="16"/>
          <w:szCs w:val="16"/>
        </w:rPr>
        <w:t>Rehman</w:t>
      </w:r>
      <w:proofErr w:type="spellEnd"/>
      <w:r w:rsidR="003607AE">
        <w:rPr>
          <w:sz w:val="16"/>
          <w:szCs w:val="16"/>
        </w:rPr>
        <w:t xml:space="preserve"> MA, </w:t>
      </w:r>
      <w:proofErr w:type="spellStart"/>
      <w:r w:rsidR="003607AE">
        <w:rPr>
          <w:sz w:val="16"/>
          <w:szCs w:val="16"/>
        </w:rPr>
        <w:t>Fourel</w:t>
      </w:r>
      <w:proofErr w:type="spellEnd"/>
      <w:r w:rsidR="003607AE">
        <w:rPr>
          <w:sz w:val="16"/>
          <w:szCs w:val="16"/>
        </w:rPr>
        <w:t xml:space="preserve"> G, Mathews A, </w:t>
      </w:r>
      <w:proofErr w:type="spellStart"/>
      <w:r w:rsidR="003607AE">
        <w:rPr>
          <w:sz w:val="16"/>
          <w:szCs w:val="16"/>
        </w:rPr>
        <w:t>Ramdin</w:t>
      </w:r>
      <w:proofErr w:type="spellEnd"/>
      <w:r w:rsidR="003607AE">
        <w:rPr>
          <w:sz w:val="16"/>
          <w:szCs w:val="16"/>
        </w:rPr>
        <w:t xml:space="preserve"> D, Espinosa M, Gilson E and </w:t>
      </w:r>
      <w:proofErr w:type="spellStart"/>
      <w:r w:rsidR="003607AE">
        <w:rPr>
          <w:sz w:val="16"/>
          <w:szCs w:val="16"/>
        </w:rPr>
        <w:t>Yankulov</w:t>
      </w:r>
      <w:proofErr w:type="spellEnd"/>
      <w:r w:rsidR="003607AE">
        <w:rPr>
          <w:sz w:val="16"/>
          <w:szCs w:val="16"/>
        </w:rPr>
        <w:t xml:space="preserve"> K. 2006. </w:t>
      </w:r>
      <w:r w:rsidR="00023A08">
        <w:rPr>
          <w:sz w:val="16"/>
          <w:szCs w:val="16"/>
        </w:rPr>
        <w:t>Differential Requirement of DNA Replication Factors for Sub-</w:t>
      </w:r>
      <w:proofErr w:type="spellStart"/>
      <w:r w:rsidR="00023A08">
        <w:rPr>
          <w:sz w:val="16"/>
          <w:szCs w:val="16"/>
        </w:rPr>
        <w:t>telomeric</w:t>
      </w:r>
      <w:proofErr w:type="spellEnd"/>
      <w:r w:rsidR="00023A08">
        <w:rPr>
          <w:sz w:val="16"/>
          <w:szCs w:val="16"/>
        </w:rPr>
        <w:t xml:space="preserve"> ARS Consensus Sequence </w:t>
      </w:r>
      <w:proofErr w:type="spellStart"/>
      <w:r w:rsidR="00023A08">
        <w:rPr>
          <w:sz w:val="16"/>
          <w:szCs w:val="16"/>
        </w:rPr>
        <w:t>Protosilencers</w:t>
      </w:r>
      <w:proofErr w:type="spellEnd"/>
      <w:r w:rsidR="00023A08">
        <w:rPr>
          <w:sz w:val="16"/>
          <w:szCs w:val="16"/>
        </w:rPr>
        <w:t xml:space="preserve"> in Saccharomyces cerevisiae. </w:t>
      </w:r>
      <w:proofErr w:type="gramStart"/>
      <w:r w:rsidR="00023A08" w:rsidRPr="0043112D">
        <w:rPr>
          <w:i/>
          <w:sz w:val="16"/>
          <w:szCs w:val="16"/>
        </w:rPr>
        <w:t>Gene</w:t>
      </w:r>
      <w:r w:rsidR="0043112D" w:rsidRPr="0043112D">
        <w:rPr>
          <w:i/>
          <w:sz w:val="16"/>
          <w:szCs w:val="16"/>
        </w:rPr>
        <w:t>tics</w:t>
      </w:r>
      <w:r w:rsidR="0043112D">
        <w:rPr>
          <w:sz w:val="16"/>
          <w:szCs w:val="16"/>
        </w:rPr>
        <w:t>.</w:t>
      </w:r>
      <w:proofErr w:type="gramEnd"/>
      <w:r w:rsidR="0043112D">
        <w:rPr>
          <w:sz w:val="16"/>
          <w:szCs w:val="16"/>
        </w:rPr>
        <w:t xml:space="preserve"> 174: 1801-1810</w:t>
      </w:r>
    </w:p>
    <w:p w:rsidR="006E3C35" w:rsidRPr="00FD7478" w:rsidRDefault="006E3C35" w:rsidP="006E3C35">
      <w:pPr>
        <w:tabs>
          <w:tab w:val="left" w:pos="384"/>
        </w:tabs>
        <w:ind w:right="117"/>
      </w:pPr>
    </w:p>
    <w:p w:rsidR="006E3C35" w:rsidRDefault="006E3C35" w:rsidP="006E3C35">
      <w:pPr>
        <w:spacing w:line="200" w:lineRule="exact"/>
        <w:jc w:val="both"/>
        <w:rPr>
          <w:rFonts w:ascii="Calibri" w:hAnsi="Calibri"/>
        </w:rPr>
        <w:sectPr w:rsidR="006E3C35">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6E3C35" w:rsidRDefault="006E3C35" w:rsidP="006E3C35">
      <w:pPr>
        <w:pStyle w:val="BodyText"/>
        <w:rPr>
          <w:rFonts w:ascii="Calibri"/>
          <w:sz w:val="20"/>
        </w:rPr>
      </w:pPr>
    </w:p>
    <w:p w:rsidR="006E3C35" w:rsidRDefault="006E3C35" w:rsidP="006E3C35">
      <w:pPr>
        <w:pStyle w:val="BodyText"/>
        <w:spacing w:line="40" w:lineRule="exact"/>
        <w:ind w:left="2202"/>
        <w:rPr>
          <w:rFonts w:ascii="Calibri"/>
          <w:sz w:val="4"/>
        </w:rPr>
      </w:pPr>
      <w:r>
        <w:rPr>
          <w:rFonts w:ascii="Calibri"/>
          <w:noProof/>
          <w:sz w:val="4"/>
          <w:lang w:val="en-CA" w:eastAsia="en-CA"/>
        </w:rPr>
        <mc:AlternateContent>
          <mc:Choice Requires="wpg">
            <w:drawing>
              <wp:inline distT="0" distB="0" distL="0" distR="0" wp14:anchorId="5E838871" wp14:editId="7716451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E3C35" w:rsidRPr="00EA2222" w:rsidRDefault="006E3C35" w:rsidP="006E3C35">
      <w:pPr>
        <w:spacing w:before="92"/>
        <w:ind w:right="4234"/>
      </w:pPr>
      <w:r w:rsidRPr="00EA2222">
        <w:rPr>
          <w:color w:val="BF5A14"/>
        </w:rPr>
        <w:t>Biography (150 word limit)</w:t>
      </w:r>
    </w:p>
    <w:p w:rsidR="00EA2222" w:rsidRPr="00EA2222" w:rsidRDefault="00EA2222" w:rsidP="00EA2222">
      <w:pPr>
        <w:jc w:val="both"/>
        <w:rPr>
          <w:rFonts w:ascii="Century Gothic" w:hAnsi="Century Gothic"/>
          <w:sz w:val="16"/>
          <w:szCs w:val="16"/>
        </w:rPr>
      </w:pPr>
      <w:r w:rsidRPr="00EA2222">
        <w:rPr>
          <w:rFonts w:ascii="Century Gothic" w:hAnsi="Century Gothic"/>
          <w:sz w:val="16"/>
          <w:szCs w:val="16"/>
        </w:rPr>
        <w:t xml:space="preserve">Amit Mathews is a graduate from University of Guelph, holding a Master’s degree in Molecular Biology and Genetics and has been working with the Canadian Food Inspection Agency (CFIA) as a Molecular Geneticist </w:t>
      </w:r>
      <w:r>
        <w:rPr>
          <w:rFonts w:ascii="Century Gothic" w:hAnsi="Century Gothic"/>
          <w:sz w:val="16"/>
          <w:szCs w:val="16"/>
        </w:rPr>
        <w:t>since 2008</w:t>
      </w:r>
      <w:r w:rsidRPr="00EA2222">
        <w:rPr>
          <w:rFonts w:ascii="Century Gothic" w:hAnsi="Century Gothic"/>
          <w:sz w:val="16"/>
          <w:szCs w:val="16"/>
        </w:rPr>
        <w:t>. He has extensive experience in the fields of Functional Genomics, Computational Biology, Bioinformatics and Molecular Microbiology. Since he started with CFIA, he has worked on Whole Genome Sequencing of pathogenic bacteria and developing bioinformatics tools and pipelines</w:t>
      </w:r>
      <w:r w:rsidR="002F30B2">
        <w:rPr>
          <w:rFonts w:ascii="Century Gothic" w:hAnsi="Century Gothic"/>
          <w:sz w:val="16"/>
          <w:szCs w:val="16"/>
        </w:rPr>
        <w:t xml:space="preserve"> </w:t>
      </w:r>
      <w:r w:rsidRPr="00EA2222">
        <w:rPr>
          <w:rFonts w:ascii="Century Gothic" w:hAnsi="Century Gothic"/>
          <w:sz w:val="16"/>
          <w:szCs w:val="16"/>
        </w:rPr>
        <w:t xml:space="preserve">to crack open information residing in bacterial whole genome sequences. He has developed methods to differentiate </w:t>
      </w:r>
      <w:r w:rsidRPr="00EA2222">
        <w:rPr>
          <w:rFonts w:ascii="Century Gothic" w:hAnsi="Century Gothic"/>
          <w:i/>
          <w:sz w:val="16"/>
          <w:szCs w:val="16"/>
        </w:rPr>
        <w:t>Bacillus cereus</w:t>
      </w:r>
      <w:r w:rsidRPr="00EA2222">
        <w:rPr>
          <w:rFonts w:ascii="Century Gothic" w:hAnsi="Century Gothic"/>
          <w:sz w:val="16"/>
          <w:szCs w:val="16"/>
        </w:rPr>
        <w:t xml:space="preserve"> from </w:t>
      </w:r>
      <w:r w:rsidRPr="00EA2222">
        <w:rPr>
          <w:rFonts w:ascii="Century Gothic" w:hAnsi="Century Gothic"/>
          <w:i/>
          <w:sz w:val="16"/>
          <w:szCs w:val="16"/>
        </w:rPr>
        <w:t>Bacillus thuringiensis</w:t>
      </w:r>
      <w:r w:rsidRPr="00EA2222">
        <w:rPr>
          <w:rFonts w:ascii="Century Gothic" w:hAnsi="Century Gothic"/>
          <w:sz w:val="16"/>
          <w:szCs w:val="16"/>
        </w:rPr>
        <w:t xml:space="preserve">; Multiple Locus Variance Analysis (MLVA) for typing </w:t>
      </w:r>
      <w:r w:rsidRPr="00EA2222">
        <w:rPr>
          <w:rFonts w:ascii="Century Gothic" w:hAnsi="Century Gothic"/>
          <w:i/>
          <w:sz w:val="16"/>
          <w:szCs w:val="16"/>
        </w:rPr>
        <w:t>Listeria monocytogenes</w:t>
      </w:r>
      <w:r w:rsidRPr="00EA2222">
        <w:rPr>
          <w:rFonts w:ascii="Century Gothic" w:hAnsi="Century Gothic"/>
          <w:sz w:val="16"/>
          <w:szCs w:val="16"/>
        </w:rPr>
        <w:t xml:space="preserve"> and </w:t>
      </w:r>
      <w:r w:rsidRPr="00EA2222">
        <w:rPr>
          <w:rFonts w:ascii="Century Gothic" w:hAnsi="Century Gothic"/>
          <w:i/>
          <w:sz w:val="16"/>
          <w:szCs w:val="16"/>
        </w:rPr>
        <w:t>Salmonell</w:t>
      </w:r>
      <w:r w:rsidRPr="00EA2222">
        <w:rPr>
          <w:rFonts w:ascii="Century Gothic" w:hAnsi="Century Gothic"/>
          <w:sz w:val="16"/>
          <w:szCs w:val="16"/>
        </w:rPr>
        <w:t xml:space="preserve">a sp. He has also developed Cloth-based Hybridization Array System (CHAS) methods for </w:t>
      </w:r>
      <w:r w:rsidRPr="00EA2222">
        <w:rPr>
          <w:rFonts w:ascii="Century Gothic" w:hAnsi="Century Gothic"/>
          <w:i/>
          <w:sz w:val="16"/>
          <w:szCs w:val="16"/>
        </w:rPr>
        <w:t>B. cereus</w:t>
      </w:r>
      <w:r w:rsidRPr="00EA2222">
        <w:rPr>
          <w:rFonts w:ascii="Century Gothic" w:hAnsi="Century Gothic"/>
          <w:sz w:val="16"/>
          <w:szCs w:val="16"/>
        </w:rPr>
        <w:t xml:space="preserve"> and </w:t>
      </w:r>
      <w:proofErr w:type="spellStart"/>
      <w:r w:rsidRPr="00EA2222">
        <w:rPr>
          <w:rFonts w:ascii="Century Gothic" w:hAnsi="Century Gothic"/>
          <w:sz w:val="16"/>
          <w:szCs w:val="16"/>
        </w:rPr>
        <w:t>Enterohemorrhagic</w:t>
      </w:r>
      <w:proofErr w:type="spellEnd"/>
      <w:r w:rsidRPr="00EA2222">
        <w:rPr>
          <w:rFonts w:ascii="Century Gothic" w:hAnsi="Century Gothic"/>
          <w:sz w:val="16"/>
          <w:szCs w:val="16"/>
        </w:rPr>
        <w:t xml:space="preserve"> </w:t>
      </w:r>
      <w:r w:rsidRPr="00EA2222">
        <w:rPr>
          <w:rFonts w:ascii="Century Gothic" w:hAnsi="Century Gothic"/>
          <w:i/>
          <w:sz w:val="16"/>
          <w:szCs w:val="16"/>
        </w:rPr>
        <w:t>E. coli</w:t>
      </w:r>
      <w:r w:rsidRPr="00EA2222">
        <w:rPr>
          <w:rFonts w:ascii="Century Gothic" w:hAnsi="Century Gothic"/>
          <w:sz w:val="16"/>
          <w:szCs w:val="16"/>
        </w:rPr>
        <w:t xml:space="preserve"> (EHEC); and qualitative PCR methods for screening EHEC verotoxins. Investigating “genomic islands” of pathogenicity especially in EHEC that confer varying degrees of virulence and plasmids that confer antibiotic resistance are special areas of his interest. </w:t>
      </w:r>
    </w:p>
    <w:p w:rsidR="006E3C35" w:rsidRDefault="006E3C35" w:rsidP="00EA2222">
      <w:pPr>
        <w:spacing w:before="62"/>
        <w:ind w:left="4217" w:right="4235"/>
        <w:jc w:val="both"/>
        <w:rPr>
          <w:rFonts w:ascii="Arial"/>
          <w:sz w:val="14"/>
        </w:rPr>
      </w:pPr>
      <w:r>
        <w:rPr>
          <w:rFonts w:ascii="Arial"/>
          <w:sz w:val="14"/>
        </w:rPr>
        <w:t xml:space="preserve">Email: </w:t>
      </w:r>
      <w:hyperlink r:id="rId8" w:history="1">
        <w:r w:rsidR="00EA2222">
          <w:rPr>
            <w:rStyle w:val="Hyperlink"/>
            <w:rFonts w:ascii="Arial"/>
            <w:sz w:val="14"/>
          </w:rPr>
          <w:t>amit,mathews@canada</w:t>
        </w:r>
        <w:r w:rsidRPr="00616076">
          <w:rPr>
            <w:rStyle w:val="Hyperlink"/>
            <w:rFonts w:ascii="Arial"/>
            <w:sz w:val="14"/>
          </w:rPr>
          <w:t>.com</w:t>
        </w:r>
      </w:hyperlink>
    </w:p>
    <w:p w:rsidR="006E3C35" w:rsidRDefault="006E3C35" w:rsidP="006E3C35">
      <w:pPr>
        <w:pStyle w:val="BodyText"/>
        <w:spacing w:before="2"/>
        <w:rPr>
          <w:rFonts w:ascii="Arial"/>
          <w:sz w:val="19"/>
        </w:rPr>
      </w:pPr>
      <w:r>
        <w:rPr>
          <w:noProof/>
          <w:lang w:val="en-CA" w:eastAsia="en-CA"/>
        </w:rPr>
        <mc:AlternateContent>
          <mc:Choice Requires="wps">
            <w:drawing>
              <wp:anchor distT="0" distB="0" distL="0" distR="0" simplePos="0" relativeHeight="251659264" behindDoc="0" locked="0" layoutInCell="1" allowOverlap="1" wp14:anchorId="06A7573E" wp14:editId="5CCA916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6E3C35" w:rsidRDefault="006E3C35" w:rsidP="006E3C35">
      <w:pPr>
        <w:pStyle w:val="BodyText"/>
        <w:rPr>
          <w:rFonts w:ascii="Arial"/>
          <w:sz w:val="20"/>
        </w:rPr>
      </w:pPr>
    </w:p>
    <w:sectPr w:rsidR="006E3C35" w:rsidSect="00920C00">
      <w:type w:val="continuous"/>
      <w:pgSz w:w="11910" w:h="16840"/>
      <w:pgMar w:top="1740" w:right="600" w:bottom="840" w:left="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A2127">
    <w:pPr>
      <w:pStyle w:val="BodyText"/>
      <w:spacing w:line="14" w:lineRule="auto"/>
      <w:rPr>
        <w:sz w:val="20"/>
      </w:rPr>
    </w:pPr>
    <w:r>
      <w:rPr>
        <w:noProof/>
        <w:lang w:val="en-CA" w:eastAsia="en-CA"/>
      </w:rPr>
      <mc:AlternateContent>
        <mc:Choice Requires="wps">
          <w:drawing>
            <wp:anchor distT="0" distB="0" distL="114300" distR="114300" simplePos="0" relativeHeight="251661312" behindDoc="1" locked="0" layoutInCell="1" allowOverlap="1" wp14:anchorId="2A11ADD3" wp14:editId="034633D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A212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A212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7A212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7A212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CA" w:eastAsia="en-CA"/>
      </w:rPr>
      <mc:AlternateContent>
        <mc:Choice Requires="wps">
          <w:drawing>
            <wp:anchor distT="0" distB="0" distL="114300" distR="114300" simplePos="0" relativeHeight="251662336" behindDoc="1" locked="0" layoutInCell="1" allowOverlap="1" wp14:anchorId="373ED3A9" wp14:editId="004AC21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A212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A2127">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7A2127">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7A2127">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4F0549C5" wp14:editId="18EBDAB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A212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7A212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7A212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7A212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A2127">
    <w:pPr>
      <w:pStyle w:val="BodyText"/>
      <w:spacing w:line="14" w:lineRule="auto"/>
      <w:rPr>
        <w:sz w:val="20"/>
      </w:rPr>
    </w:pPr>
    <w:r>
      <w:rPr>
        <w:noProof/>
        <w:lang w:val="en-CA" w:eastAsia="en-CA"/>
      </w:rPr>
      <mc:AlternateContent>
        <mc:Choice Requires="wps">
          <w:drawing>
            <wp:anchor distT="0" distB="0" distL="114300" distR="114300" simplePos="0" relativeHeight="251659264" behindDoc="1" locked="0" layoutInCell="1" allowOverlap="1" wp14:anchorId="5583EDC2" wp14:editId="41450B2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6E3C35" w:rsidRDefault="007A2127">
                          <w:pPr>
                            <w:spacing w:before="2" w:line="249" w:lineRule="auto"/>
                            <w:ind w:left="156" w:right="18" w:hanging="137"/>
                            <w:rPr>
                              <w:rFonts w:ascii="Arial"/>
                              <w:color w:val="FFFFFF" w:themeColor="background1"/>
                              <w:sz w:val="14"/>
                              <w:lang w:val="fr-FR"/>
                            </w:rPr>
                          </w:pPr>
                          <w:r w:rsidRPr="006E3C35">
                            <w:rPr>
                              <w:rFonts w:ascii="Arial"/>
                              <w:color w:val="FFFFFF" w:themeColor="background1"/>
                              <w:sz w:val="14"/>
                              <w:lang w:val="fr-FR"/>
                            </w:rPr>
                            <w:t xml:space="preserve">T Furuta et </w:t>
                          </w:r>
                          <w:proofErr w:type="gramStart"/>
                          <w:r w:rsidRPr="006E3C35">
                            <w:rPr>
                              <w:rFonts w:ascii="Arial"/>
                              <w:color w:val="FFFFFF" w:themeColor="background1"/>
                              <w:sz w:val="14"/>
                              <w:lang w:val="fr-FR"/>
                            </w:rPr>
                            <w:t>al.,</w:t>
                          </w:r>
                          <w:proofErr w:type="gramEnd"/>
                          <w:r w:rsidRPr="006E3C35">
                            <w:rPr>
                              <w:rFonts w:ascii="Arial"/>
                              <w:color w:val="FFFFFF" w:themeColor="background1"/>
                              <w:sz w:val="14"/>
                              <w:lang w:val="fr-FR"/>
                            </w:rPr>
                            <w:t xml:space="preserve"> J Pai n Relief 2016, 5:3(Suppl) </w:t>
                          </w:r>
                          <w:hyperlink r:id="rId1">
                            <w:r w:rsidRPr="006E3C35">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6E3C35" w:rsidRDefault="007A2127">
                    <w:pPr>
                      <w:spacing w:before="2" w:line="249" w:lineRule="auto"/>
                      <w:ind w:left="156" w:right="18" w:hanging="137"/>
                      <w:rPr>
                        <w:rFonts w:ascii="Arial"/>
                        <w:color w:val="FFFFFF" w:themeColor="background1"/>
                        <w:sz w:val="14"/>
                        <w:lang w:val="fr-FR"/>
                      </w:rPr>
                    </w:pPr>
                    <w:r w:rsidRPr="006E3C35">
                      <w:rPr>
                        <w:rFonts w:ascii="Arial"/>
                        <w:color w:val="FFFFFF" w:themeColor="background1"/>
                        <w:sz w:val="14"/>
                        <w:lang w:val="fr-FR"/>
                      </w:rPr>
                      <w:t xml:space="preserve">T Furuta et </w:t>
                    </w:r>
                    <w:proofErr w:type="gramStart"/>
                    <w:r w:rsidRPr="006E3C35">
                      <w:rPr>
                        <w:rFonts w:ascii="Arial"/>
                        <w:color w:val="FFFFFF" w:themeColor="background1"/>
                        <w:sz w:val="14"/>
                        <w:lang w:val="fr-FR"/>
                      </w:rPr>
                      <w:t>al.,</w:t>
                    </w:r>
                    <w:proofErr w:type="gramEnd"/>
                    <w:r w:rsidRPr="006E3C35">
                      <w:rPr>
                        <w:rFonts w:ascii="Arial"/>
                        <w:color w:val="FFFFFF" w:themeColor="background1"/>
                        <w:sz w:val="14"/>
                        <w:lang w:val="fr-FR"/>
                      </w:rPr>
                      <w:t xml:space="preserve"> J Pai n Relief 2016, 5:3(Suppl) </w:t>
                    </w:r>
                    <w:hyperlink r:id="rId2">
                      <w:r w:rsidRPr="006E3C35">
                        <w:rPr>
                          <w:rFonts w:ascii="Arial"/>
                          <w:color w:val="FFFFFF" w:themeColor="background1"/>
                          <w:sz w:val="14"/>
                          <w:lang w:val="fr-FR"/>
                        </w:rPr>
                        <w:t>http://dx.doi.org/10.4172/2167-0846.C1.006</w:t>
                      </w:r>
                    </w:hyperlink>
                  </w:p>
                </w:txbxContent>
              </v:textbox>
              <w10:wrap anchorx="page" anchory="page"/>
            </v:shape>
          </w:pict>
        </mc:Fallback>
      </mc:AlternateContent>
    </w:r>
    <w:r>
      <w:rPr>
        <w:noProof/>
        <w:lang w:val="en-CA" w:eastAsia="en-CA"/>
      </w:rPr>
      <mc:AlternateContent>
        <mc:Choice Requires="wps">
          <w:drawing>
            <wp:anchor distT="0" distB="0" distL="114300" distR="114300" simplePos="0" relativeHeight="251660288" behindDoc="1" locked="0" layoutInCell="1" allowOverlap="1" wp14:anchorId="10C9FC03" wp14:editId="2FD5C9F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7A212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A2127">
                          <w:pPr>
                            <w:spacing w:line="614" w:lineRule="exact"/>
                            <w:ind w:left="20" w:right="-10"/>
                            <w:rPr>
                              <w:rFonts w:ascii="Minion Pro"/>
                              <w:color w:val="FFFFFF" w:themeColor="background1"/>
                              <w:sz w:val="24"/>
                            </w:rPr>
                          </w:pPr>
                          <w:proofErr w:type="spellStart"/>
                          <w:r w:rsidRPr="005B3A56">
                            <w:rPr>
                              <w:rFonts w:ascii="Impact"/>
                              <w:color w:val="FFFFFF" w:themeColor="background1"/>
                              <w:sz w:val="52"/>
                            </w:rPr>
                            <w:t>Fibromy</w:t>
                          </w:r>
                          <w:r>
                            <w:rPr>
                              <w:rFonts w:ascii="Impact"/>
                              <w:color w:val="FFFFFF" w:themeColor="background1"/>
                              <w:sz w:val="52"/>
                            </w:rPr>
                            <w:t>Only</w:t>
                          </w:r>
                          <w:r w:rsidRPr="005B3A56">
                            <w:rPr>
                              <w:rFonts w:ascii="Impact"/>
                              <w:color w:val="FFFFFF" w:themeColor="background1"/>
                              <w:sz w:val="52"/>
                            </w:rPr>
                            <w:t>algia</w:t>
                          </w:r>
                          <w:proofErr w:type="spellEnd"/>
                          <w:r w:rsidRPr="005B3A56">
                            <w:rPr>
                              <w:rFonts w:ascii="Impact"/>
                              <w:color w:val="FFFFFF" w:themeColor="background1"/>
                              <w:sz w:val="52"/>
                            </w:rPr>
                            <w:t xml:space="preserve">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7A2127">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7A2127">
                    <w:pPr>
                      <w:spacing w:line="614" w:lineRule="exact"/>
                      <w:ind w:left="20" w:right="-10"/>
                      <w:rPr>
                        <w:rFonts w:ascii="Minion Pro"/>
                        <w:color w:val="FFFFFF" w:themeColor="background1"/>
                        <w:sz w:val="24"/>
                      </w:rPr>
                    </w:pPr>
                    <w:proofErr w:type="spellStart"/>
                    <w:r w:rsidRPr="005B3A56">
                      <w:rPr>
                        <w:rFonts w:ascii="Impact"/>
                        <w:color w:val="FFFFFF" w:themeColor="background1"/>
                        <w:sz w:val="52"/>
                      </w:rPr>
                      <w:t>Fibromy</w:t>
                    </w:r>
                    <w:r>
                      <w:rPr>
                        <w:rFonts w:ascii="Impact"/>
                        <w:color w:val="FFFFFF" w:themeColor="background1"/>
                        <w:sz w:val="52"/>
                      </w:rPr>
                      <w:t>Only</w:t>
                    </w:r>
                    <w:r w:rsidRPr="005B3A56">
                      <w:rPr>
                        <w:rFonts w:ascii="Impact"/>
                        <w:color w:val="FFFFFF" w:themeColor="background1"/>
                        <w:sz w:val="52"/>
                      </w:rPr>
                      <w:t>algia</w:t>
                    </w:r>
                    <w:proofErr w:type="spellEnd"/>
                    <w:r w:rsidRPr="005B3A56">
                      <w:rPr>
                        <w:rFonts w:ascii="Impact"/>
                        <w:color w:val="FFFFFF" w:themeColor="background1"/>
                        <w:sz w:val="52"/>
                      </w:rPr>
                      <w:t xml:space="preserve">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F1B"/>
    <w:rsid w:val="00023A08"/>
    <w:rsid w:val="00123005"/>
    <w:rsid w:val="00227C99"/>
    <w:rsid w:val="002F30B2"/>
    <w:rsid w:val="003607AE"/>
    <w:rsid w:val="0043112D"/>
    <w:rsid w:val="004F618A"/>
    <w:rsid w:val="00530F1B"/>
    <w:rsid w:val="006E3C35"/>
    <w:rsid w:val="007A2127"/>
    <w:rsid w:val="00920C00"/>
    <w:rsid w:val="00D61C54"/>
    <w:rsid w:val="00EA2222"/>
    <w:rsid w:val="00FD747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E3C35"/>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6E3C3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E3C35"/>
    <w:rPr>
      <w:rFonts w:ascii="Arial" w:eastAsia="Arial" w:hAnsi="Arial" w:cs="Arial"/>
      <w:b/>
      <w:bCs/>
      <w:sz w:val="20"/>
      <w:szCs w:val="20"/>
      <w:lang w:val="en-US"/>
    </w:rPr>
  </w:style>
  <w:style w:type="paragraph" w:styleId="BodyText">
    <w:name w:val="Body Text"/>
    <w:basedOn w:val="Normal"/>
    <w:link w:val="BodyTextChar"/>
    <w:uiPriority w:val="1"/>
    <w:qFormat/>
    <w:rsid w:val="006E3C35"/>
    <w:rPr>
      <w:sz w:val="18"/>
      <w:szCs w:val="18"/>
    </w:rPr>
  </w:style>
  <w:style w:type="character" w:customStyle="1" w:styleId="BodyTextChar">
    <w:name w:val="Body Text Char"/>
    <w:basedOn w:val="DefaultParagraphFont"/>
    <w:link w:val="BodyText"/>
    <w:uiPriority w:val="1"/>
    <w:rsid w:val="006E3C35"/>
    <w:rPr>
      <w:rFonts w:ascii="Tw Cen MT" w:eastAsia="Tw Cen MT" w:hAnsi="Tw Cen MT" w:cs="Tw Cen MT"/>
      <w:sz w:val="18"/>
      <w:szCs w:val="18"/>
      <w:lang w:val="en-US"/>
    </w:rPr>
  </w:style>
  <w:style w:type="paragraph" w:styleId="ListParagraph">
    <w:name w:val="List Paragraph"/>
    <w:basedOn w:val="Normal"/>
    <w:uiPriority w:val="1"/>
    <w:qFormat/>
    <w:rsid w:val="006E3C35"/>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E3C35"/>
    <w:rPr>
      <w:color w:val="0000FF" w:themeColor="hyperlink"/>
      <w:u w:val="single"/>
    </w:rPr>
  </w:style>
  <w:style w:type="paragraph" w:styleId="BalloonText">
    <w:name w:val="Balloon Text"/>
    <w:basedOn w:val="Normal"/>
    <w:link w:val="BalloonTextChar"/>
    <w:uiPriority w:val="99"/>
    <w:semiHidden/>
    <w:unhideWhenUsed/>
    <w:rsid w:val="006E3C35"/>
    <w:rPr>
      <w:rFonts w:ascii="Tahoma" w:hAnsi="Tahoma" w:cs="Tahoma"/>
      <w:sz w:val="16"/>
      <w:szCs w:val="16"/>
    </w:rPr>
  </w:style>
  <w:style w:type="character" w:customStyle="1" w:styleId="BalloonTextChar">
    <w:name w:val="Balloon Text Char"/>
    <w:basedOn w:val="DefaultParagraphFont"/>
    <w:link w:val="BalloonText"/>
    <w:uiPriority w:val="99"/>
    <w:semiHidden/>
    <w:rsid w:val="006E3C35"/>
    <w:rPr>
      <w:rFonts w:ascii="Tahoma" w:eastAsia="Tw Cen MT" w:hAnsi="Tahoma" w:cs="Tahoma"/>
      <w:sz w:val="16"/>
      <w:szCs w:val="16"/>
      <w:lang w:val="en-US"/>
    </w:rPr>
  </w:style>
  <w:style w:type="paragraph" w:styleId="BodyText2">
    <w:name w:val="Body Text 2"/>
    <w:basedOn w:val="Normal"/>
    <w:link w:val="BodyText2Char"/>
    <w:uiPriority w:val="99"/>
    <w:semiHidden/>
    <w:unhideWhenUsed/>
    <w:rsid w:val="00EA2222"/>
    <w:pPr>
      <w:spacing w:after="120" w:line="480" w:lineRule="auto"/>
    </w:pPr>
  </w:style>
  <w:style w:type="character" w:customStyle="1" w:styleId="BodyText2Char">
    <w:name w:val="Body Text 2 Char"/>
    <w:basedOn w:val="DefaultParagraphFont"/>
    <w:link w:val="BodyText2"/>
    <w:uiPriority w:val="99"/>
    <w:semiHidden/>
    <w:rsid w:val="00EA2222"/>
    <w:rPr>
      <w:rFonts w:ascii="Tw Cen MT" w:eastAsia="Tw Cen MT" w:hAnsi="Tw Cen MT" w:cs="Tw Cen MT"/>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E3C35"/>
    <w:pPr>
      <w:widowControl w:val="0"/>
      <w:spacing w:after="0" w:line="240" w:lineRule="auto"/>
    </w:pPr>
    <w:rPr>
      <w:rFonts w:ascii="Tw Cen MT" w:eastAsia="Tw Cen MT" w:hAnsi="Tw Cen MT" w:cs="Tw Cen MT"/>
      <w:lang w:val="en-US"/>
    </w:rPr>
  </w:style>
  <w:style w:type="paragraph" w:styleId="Heading3">
    <w:name w:val="heading 3"/>
    <w:basedOn w:val="Normal"/>
    <w:link w:val="Heading3Char"/>
    <w:uiPriority w:val="1"/>
    <w:qFormat/>
    <w:rsid w:val="006E3C3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6E3C35"/>
    <w:rPr>
      <w:rFonts w:ascii="Arial" w:eastAsia="Arial" w:hAnsi="Arial" w:cs="Arial"/>
      <w:b/>
      <w:bCs/>
      <w:sz w:val="20"/>
      <w:szCs w:val="20"/>
      <w:lang w:val="en-US"/>
    </w:rPr>
  </w:style>
  <w:style w:type="paragraph" w:styleId="BodyText">
    <w:name w:val="Body Text"/>
    <w:basedOn w:val="Normal"/>
    <w:link w:val="BodyTextChar"/>
    <w:uiPriority w:val="1"/>
    <w:qFormat/>
    <w:rsid w:val="006E3C35"/>
    <w:rPr>
      <w:sz w:val="18"/>
      <w:szCs w:val="18"/>
    </w:rPr>
  </w:style>
  <w:style w:type="character" w:customStyle="1" w:styleId="BodyTextChar">
    <w:name w:val="Body Text Char"/>
    <w:basedOn w:val="DefaultParagraphFont"/>
    <w:link w:val="BodyText"/>
    <w:uiPriority w:val="1"/>
    <w:rsid w:val="006E3C35"/>
    <w:rPr>
      <w:rFonts w:ascii="Tw Cen MT" w:eastAsia="Tw Cen MT" w:hAnsi="Tw Cen MT" w:cs="Tw Cen MT"/>
      <w:sz w:val="18"/>
      <w:szCs w:val="18"/>
      <w:lang w:val="en-US"/>
    </w:rPr>
  </w:style>
  <w:style w:type="paragraph" w:styleId="ListParagraph">
    <w:name w:val="List Paragraph"/>
    <w:basedOn w:val="Normal"/>
    <w:uiPriority w:val="1"/>
    <w:qFormat/>
    <w:rsid w:val="006E3C35"/>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6E3C35"/>
    <w:rPr>
      <w:color w:val="0000FF" w:themeColor="hyperlink"/>
      <w:u w:val="single"/>
    </w:rPr>
  </w:style>
  <w:style w:type="paragraph" w:styleId="BalloonText">
    <w:name w:val="Balloon Text"/>
    <w:basedOn w:val="Normal"/>
    <w:link w:val="BalloonTextChar"/>
    <w:uiPriority w:val="99"/>
    <w:semiHidden/>
    <w:unhideWhenUsed/>
    <w:rsid w:val="006E3C35"/>
    <w:rPr>
      <w:rFonts w:ascii="Tahoma" w:hAnsi="Tahoma" w:cs="Tahoma"/>
      <w:sz w:val="16"/>
      <w:szCs w:val="16"/>
    </w:rPr>
  </w:style>
  <w:style w:type="character" w:customStyle="1" w:styleId="BalloonTextChar">
    <w:name w:val="Balloon Text Char"/>
    <w:basedOn w:val="DefaultParagraphFont"/>
    <w:link w:val="BalloonText"/>
    <w:uiPriority w:val="99"/>
    <w:semiHidden/>
    <w:rsid w:val="006E3C35"/>
    <w:rPr>
      <w:rFonts w:ascii="Tahoma" w:eastAsia="Tw Cen MT" w:hAnsi="Tahoma" w:cs="Tahoma"/>
      <w:sz w:val="16"/>
      <w:szCs w:val="16"/>
      <w:lang w:val="en-US"/>
    </w:rPr>
  </w:style>
  <w:style w:type="paragraph" w:styleId="BodyText2">
    <w:name w:val="Body Text 2"/>
    <w:basedOn w:val="Normal"/>
    <w:link w:val="BodyText2Char"/>
    <w:uiPriority w:val="99"/>
    <w:semiHidden/>
    <w:unhideWhenUsed/>
    <w:rsid w:val="00EA2222"/>
    <w:pPr>
      <w:spacing w:after="120" w:line="480" w:lineRule="auto"/>
    </w:pPr>
  </w:style>
  <w:style w:type="character" w:customStyle="1" w:styleId="BodyText2Char">
    <w:name w:val="Body Text 2 Char"/>
    <w:basedOn w:val="DefaultParagraphFont"/>
    <w:link w:val="BodyText2"/>
    <w:uiPriority w:val="99"/>
    <w:semiHidden/>
    <w:rsid w:val="00EA2222"/>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AAFC-AAC</Company>
  <LinksUpToDate>false</LinksUpToDate>
  <CharactersWithSpaces>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Mathews</dc:creator>
  <cp:keywords/>
  <dc:description/>
  <cp:lastModifiedBy>Amit Mathews</cp:lastModifiedBy>
  <cp:revision>5</cp:revision>
  <dcterms:created xsi:type="dcterms:W3CDTF">2018-08-20T13:21:00Z</dcterms:created>
  <dcterms:modified xsi:type="dcterms:W3CDTF">2018-08-20T14:46:00Z</dcterms:modified>
</cp:coreProperties>
</file>