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color w:val="auto"/>
          <w:sz w:val="30"/>
          <w:szCs w:val="30"/>
        </w:rPr>
      </w:pPr>
      <w:r>
        <w:rPr>
          <w:rFonts w:ascii="Times New Roman" w:hAnsi="Times New Roman" w:cs="Times New Roman"/>
          <w:sz w:val="30"/>
          <w:szCs w:val="30"/>
        </w:rPr>
        <w:t xml:space="preserve">Circular RNA </w:t>
      </w:r>
      <w:r>
        <w:rPr>
          <w:rFonts w:hint="eastAsia" w:ascii="Times New Roman" w:hAnsi="Times New Roman" w:cs="Times New Roman"/>
          <w:sz w:val="30"/>
          <w:szCs w:val="30"/>
        </w:rPr>
        <w:t>E</w:t>
      </w:r>
      <w:r>
        <w:rPr>
          <w:rFonts w:ascii="Times New Roman" w:hAnsi="Times New Roman" w:cs="Times New Roman"/>
          <w:sz w:val="30"/>
          <w:szCs w:val="30"/>
        </w:rPr>
        <w:t xml:space="preserve">xpression </w:t>
      </w:r>
      <w:r>
        <w:rPr>
          <w:rFonts w:hint="eastAsia" w:ascii="Times New Roman" w:hAnsi="Times New Roman" w:cs="Times New Roman"/>
          <w:sz w:val="30"/>
          <w:szCs w:val="30"/>
        </w:rPr>
        <w:t>A</w:t>
      </w:r>
      <w:r>
        <w:rPr>
          <w:rFonts w:ascii="Times New Roman" w:hAnsi="Times New Roman" w:cs="Times New Roman"/>
          <w:sz w:val="30"/>
          <w:szCs w:val="30"/>
        </w:rPr>
        <w:t xml:space="preserve">lterations in </w:t>
      </w:r>
      <w:r>
        <w:rPr>
          <w:rFonts w:hint="eastAsia" w:ascii="Times New Roman" w:hAnsi="Times New Roman" w:cs="Times New Roman"/>
          <w:color w:val="auto"/>
          <w:sz w:val="30"/>
          <w:szCs w:val="30"/>
        </w:rPr>
        <w:t xml:space="preserve">Brain Tissue of </w:t>
      </w:r>
      <w:r>
        <w:rPr>
          <w:rFonts w:ascii="Times New Roman" w:hAnsi="Times New Roman" w:cs="Times New Roman"/>
          <w:color w:val="auto"/>
          <w:sz w:val="30"/>
          <w:szCs w:val="30"/>
        </w:rPr>
        <w:t>Alcohol-Dependent Mice</w:t>
      </w:r>
    </w:p>
    <w:p>
      <w:pPr>
        <w:jc w:val="center"/>
        <w:rPr>
          <w:rFonts w:hint="eastAsia" w:ascii="Times New Roman" w:hAnsi="Times New Roman" w:cs="Times New Roman"/>
          <w:color w:val="auto"/>
          <w:sz w:val="30"/>
          <w:szCs w:val="30"/>
        </w:rPr>
      </w:pPr>
      <w:r>
        <w:rPr>
          <w:rFonts w:hint="eastAsia" w:ascii="Times New Roman" w:hAnsi="Times New Roman" w:cs="Times New Roman"/>
          <w:color w:val="auto"/>
          <w:sz w:val="30"/>
          <w:szCs w:val="30"/>
        </w:rPr>
        <w:t>Zhe Gong</w:t>
      </w:r>
      <w:r>
        <w:rPr>
          <w:rFonts w:hint="eastAsia" w:ascii="Times New Roman" w:hAnsi="Times New Roman" w:cs="Times New Roman"/>
          <w:color w:val="auto"/>
          <w:sz w:val="30"/>
          <w:szCs w:val="30"/>
          <w:vertAlign w:val="superscript"/>
        </w:rPr>
        <w:t>1</w:t>
      </w:r>
      <w:r>
        <w:rPr>
          <w:rFonts w:hint="eastAsia" w:ascii="Times New Roman" w:hAnsi="Times New Roman" w:cs="Times New Roman"/>
          <w:color w:val="auto"/>
          <w:sz w:val="30"/>
          <w:szCs w:val="30"/>
        </w:rPr>
        <w:t>, Ying Peng</w:t>
      </w:r>
      <w:r>
        <w:rPr>
          <w:rFonts w:hint="eastAsia" w:ascii="Times New Roman" w:hAnsi="Times New Roman" w:cs="Times New Roman"/>
          <w:color w:val="auto"/>
          <w:sz w:val="30"/>
          <w:szCs w:val="30"/>
          <w:vertAlign w:val="superscript"/>
        </w:rPr>
        <w:t>2</w:t>
      </w:r>
    </w:p>
    <w:p>
      <w:pPr>
        <w:jc w:val="center"/>
        <w:rPr>
          <w:rFonts w:hint="eastAsia" w:ascii="Times New Roman" w:hAnsi="Times New Roman" w:cs="Times New Roman"/>
          <w:color w:val="auto"/>
          <w:sz w:val="30"/>
          <w:szCs w:val="30"/>
        </w:rPr>
      </w:pPr>
      <w:r>
        <w:rPr>
          <w:rFonts w:ascii="Times New Roman" w:hAnsi="Times New Roman" w:cs="Times New Roman"/>
          <w:color w:val="auto"/>
          <w:sz w:val="30"/>
          <w:szCs w:val="30"/>
        </w:rPr>
        <w:t>D</w:t>
      </w:r>
      <w:r>
        <w:rPr>
          <w:rFonts w:hint="eastAsia" w:ascii="Times New Roman" w:hAnsi="Times New Roman" w:cs="Times New Roman"/>
          <w:color w:val="auto"/>
          <w:sz w:val="30"/>
          <w:szCs w:val="30"/>
        </w:rPr>
        <w:t>epartment of Neurology, Sun Yat-Sen Memorial Hospital, Sun Yat-Sen University, Guangzhou 510120  China</w:t>
      </w:r>
    </w:p>
    <w:p>
      <w:pPr>
        <w:jc w:val="center"/>
        <w:rPr>
          <w:rFonts w:ascii="Times New Roman" w:hAnsi="Times New Roman" w:cs="Times New Roman"/>
          <w:color w:val="auto"/>
          <w:sz w:val="30"/>
          <w:szCs w:val="30"/>
        </w:rPr>
      </w:pPr>
      <w:r>
        <w:rPr>
          <w:rFonts w:hint="eastAsia" w:ascii="Times New Roman" w:hAnsi="Times New Roman" w:cs="Times New Roman"/>
          <w:color w:val="auto"/>
          <w:sz w:val="30"/>
          <w:szCs w:val="30"/>
        </w:rPr>
        <w:t>Email:</w:t>
      </w:r>
      <w:r>
        <w:rPr>
          <w:rFonts w:hint="eastAsia" w:ascii="Times New Roman" w:hAnsi="Times New Roman" w:cs="Times New Roman"/>
          <w:color w:val="auto"/>
          <w:sz w:val="30"/>
          <w:szCs w:val="30"/>
          <w:vertAlign w:val="superscript"/>
        </w:rPr>
        <w:t>1</w:t>
      </w:r>
      <w:r>
        <w:rPr>
          <w:rFonts w:ascii="Times New Roman" w:hAnsi="Times New Roman" w:cs="Times New Roman"/>
          <w:color w:val="auto"/>
          <w:sz w:val="30"/>
          <w:szCs w:val="30"/>
          <w:vertAlign w:val="superscript"/>
        </w:rPr>
        <w:t>,</w:t>
      </w:r>
      <w:r>
        <w:rPr>
          <w:rFonts w:hint="eastAsia"/>
          <w:color w:val="auto"/>
        </w:rPr>
        <w:t xml:space="preserve"> </w:t>
      </w:r>
      <w:r>
        <w:rPr>
          <w:color w:val="auto"/>
        </w:rPr>
        <w:fldChar w:fldCharType="begin"/>
      </w:r>
      <w:r>
        <w:rPr>
          <w:color w:val="auto"/>
        </w:rPr>
        <w:instrText xml:space="preserve"> HYPERLINK "mailto:gongzhe1415@163.com" </w:instrText>
      </w:r>
      <w:r>
        <w:rPr>
          <w:color w:val="auto"/>
        </w:rPr>
        <w:fldChar w:fldCharType="separate"/>
      </w:r>
      <w:r>
        <w:rPr>
          <w:rStyle w:val="6"/>
          <w:rFonts w:hint="eastAsia" w:ascii="Times New Roman" w:hAnsi="Times New Roman" w:cs="Times New Roman"/>
          <w:color w:val="auto"/>
          <w:sz w:val="30"/>
          <w:szCs w:val="30"/>
        </w:rPr>
        <w:t>gongzhe1415@163.com</w:t>
      </w:r>
      <w:r>
        <w:rPr>
          <w:rStyle w:val="6"/>
          <w:rFonts w:hint="eastAsia" w:ascii="Times New Roman" w:hAnsi="Times New Roman" w:cs="Times New Roman"/>
          <w:color w:val="auto"/>
          <w:sz w:val="30"/>
          <w:szCs w:val="30"/>
        </w:rPr>
        <w:fldChar w:fldCharType="end"/>
      </w:r>
      <w:r>
        <w:rPr>
          <w:rFonts w:hint="eastAsia" w:ascii="Times New Roman" w:hAnsi="Times New Roman" w:cs="Times New Roman"/>
          <w:color w:val="auto"/>
          <w:sz w:val="30"/>
          <w:szCs w:val="30"/>
        </w:rPr>
        <w:t xml:space="preserve"> and </w:t>
      </w:r>
      <w:r>
        <w:rPr>
          <w:rFonts w:hint="eastAsia" w:ascii="Times New Roman" w:hAnsi="Times New Roman" w:cs="Times New Roman"/>
          <w:color w:val="auto"/>
          <w:sz w:val="30"/>
          <w:szCs w:val="30"/>
          <w:vertAlign w:val="superscript"/>
        </w:rPr>
        <w:t>2,</w:t>
      </w:r>
      <w:r>
        <w:rPr>
          <w:rFonts w:ascii="AdvTT5235d5a9" w:hAnsi="AdvTT5235d5a9" w:eastAsia="宋体" w:cs="AdvTT5235d5a9"/>
          <w:color w:val="auto"/>
          <w:kern w:val="0"/>
          <w:sz w:val="13"/>
          <w:szCs w:val="13"/>
        </w:rPr>
        <w:t xml:space="preserve"> </w:t>
      </w:r>
      <w:r>
        <w:rPr>
          <w:rFonts w:ascii="Times New Roman" w:hAnsi="Times New Roman" w:eastAsia="宋体" w:cs="Times New Roman"/>
          <w:color w:val="auto"/>
          <w:kern w:val="0"/>
          <w:sz w:val="28"/>
          <w:szCs w:val="28"/>
        </w:rPr>
        <w:t>Correspondence</w:t>
      </w:r>
      <w:r>
        <w:rPr>
          <w:rFonts w:hint="eastAsia" w:ascii="Times New Roman" w:hAnsi="Times New Roman" w:eastAsia="宋体" w:cs="Times New Roman"/>
          <w:color w:val="auto"/>
          <w:kern w:val="0"/>
          <w:sz w:val="28"/>
          <w:szCs w:val="28"/>
        </w:rPr>
        <w:t xml:space="preserve"> to Ying Peng </w:t>
      </w:r>
      <w:r>
        <w:rPr>
          <w:color w:val="auto"/>
        </w:rPr>
        <w:fldChar w:fldCharType="begin"/>
      </w:r>
      <w:r>
        <w:rPr>
          <w:color w:val="auto"/>
        </w:rPr>
        <w:instrText xml:space="preserve"> HYPERLINK "mailto:2353352460@qq.com" </w:instrText>
      </w:r>
      <w:r>
        <w:rPr>
          <w:color w:val="auto"/>
        </w:rPr>
        <w:fldChar w:fldCharType="separate"/>
      </w:r>
      <w:r>
        <w:rPr>
          <w:rStyle w:val="6"/>
          <w:rFonts w:hint="eastAsia" w:ascii="Times New Roman" w:hAnsi="Times New Roman" w:cs="Times New Roman"/>
          <w:color w:val="auto"/>
          <w:sz w:val="30"/>
          <w:szCs w:val="30"/>
        </w:rPr>
        <w:t>2353352460@qq.com</w:t>
      </w:r>
      <w:r>
        <w:rPr>
          <w:rStyle w:val="6"/>
          <w:rFonts w:hint="eastAsia" w:ascii="Times New Roman" w:hAnsi="Times New Roman" w:cs="Times New Roman"/>
          <w:color w:val="auto"/>
          <w:sz w:val="30"/>
          <w:szCs w:val="30"/>
        </w:rPr>
        <w:fldChar w:fldCharType="end"/>
      </w:r>
      <w:r>
        <w:rPr>
          <w:rFonts w:hint="eastAsia" w:ascii="Times New Roman" w:hAnsi="Times New Roman" w:cs="Times New Roman"/>
          <w:color w:val="auto"/>
          <w:sz w:val="30"/>
          <w:szCs w:val="30"/>
        </w:rPr>
        <w:t>.Mobile: 86-13380051581</w:t>
      </w:r>
    </w:p>
    <w:p>
      <w:pPr>
        <w:rPr>
          <w:rFonts w:ascii="Times New Roman" w:hAnsi="Times New Roman" w:cs="Times New Roman"/>
          <w:b/>
          <w:bCs/>
          <w:sz w:val="28"/>
          <w:szCs w:val="28"/>
        </w:rPr>
      </w:pPr>
      <w:r>
        <w:rPr>
          <w:rFonts w:hint="eastAsia" w:ascii="Times New Roman" w:hAnsi="Times New Roman" w:cs="Times New Roman"/>
          <w:b/>
          <w:bCs/>
          <w:sz w:val="28"/>
          <w:szCs w:val="28"/>
        </w:rPr>
        <w:t>Background:</w:t>
      </w:r>
    </w:p>
    <w:p>
      <w:pPr>
        <w:ind w:firstLine="560" w:firstLineChars="200"/>
        <w:rPr>
          <w:rFonts w:ascii="Times New Roman" w:hAnsi="Times New Roman" w:cs="Times New Roman"/>
          <w:sz w:val="28"/>
          <w:szCs w:val="28"/>
        </w:rPr>
      </w:pPr>
      <w:r>
        <w:rPr>
          <w:rFonts w:hint="eastAsia" w:ascii="Times New Roman" w:hAnsi="Times New Roman" w:cs="Times New Roman"/>
          <w:sz w:val="28"/>
          <w:szCs w:val="28"/>
        </w:rPr>
        <w:t>Alcohol use disorder (AUD), included in substance addiction, is a chronic relapsing brain disease characterized by the loss of control over alcohol seeking and consumption. The neural signaling mechanisms of the uncontrolled abuse are still incompletely understood. And recently many endogenous circular RNAs (circRNAs) have been suggested to play great roles in human diseases, but few studies have been reported in AUD.</w:t>
      </w:r>
    </w:p>
    <w:p>
      <w:pPr>
        <w:rPr>
          <w:rFonts w:ascii="Times New Roman" w:hAnsi="Times New Roman" w:cs="Times New Roman"/>
          <w:sz w:val="28"/>
          <w:szCs w:val="28"/>
        </w:rPr>
      </w:pPr>
      <w:r>
        <w:rPr>
          <w:rFonts w:hint="eastAsia" w:ascii="Times New Roman" w:hAnsi="Times New Roman" w:cs="Times New Roman"/>
          <w:b/>
          <w:bCs/>
          <w:sz w:val="28"/>
          <w:szCs w:val="28"/>
        </w:rPr>
        <w:t>Objective:</w:t>
      </w:r>
    </w:p>
    <w:p>
      <w:pPr>
        <w:ind w:firstLine="560" w:firstLineChars="200"/>
        <w:rPr>
          <w:rFonts w:ascii="Times New Roman" w:hAnsi="Times New Roman" w:cs="Times New Roman"/>
          <w:sz w:val="28"/>
          <w:szCs w:val="28"/>
        </w:rPr>
      </w:pPr>
      <w:r>
        <w:rPr>
          <w:rFonts w:hint="eastAsia" w:ascii="Times New Roman" w:hAnsi="Times New Roman" w:cs="Times New Roman"/>
          <w:sz w:val="28"/>
          <w:szCs w:val="28"/>
        </w:rPr>
        <w:t>To explore the circRNAs expression difference</w:t>
      </w:r>
      <w:r>
        <w:rPr>
          <w:rFonts w:hint="eastAsia" w:ascii="Times New Roman" w:hAnsi="Times New Roman" w:cs="Times New Roman"/>
          <w:color w:val="auto"/>
          <w:sz w:val="28"/>
          <w:szCs w:val="28"/>
        </w:rPr>
        <w:t xml:space="preserve">s </w:t>
      </w:r>
      <w:r>
        <w:rPr>
          <w:rFonts w:ascii="Times New Roman" w:hAnsi="Times New Roman" w:cs="Times New Roman"/>
          <w:color w:val="auto"/>
          <w:sz w:val="30"/>
          <w:szCs w:val="30"/>
        </w:rPr>
        <w:t xml:space="preserve">in </w:t>
      </w:r>
      <w:r>
        <w:rPr>
          <w:rFonts w:hint="eastAsia" w:ascii="Times New Roman" w:hAnsi="Times New Roman" w:cs="Times New Roman"/>
          <w:color w:val="auto"/>
          <w:sz w:val="30"/>
          <w:szCs w:val="30"/>
        </w:rPr>
        <w:t>brain tissue</w:t>
      </w:r>
      <w:r>
        <w:rPr>
          <w:rFonts w:hint="eastAsia" w:ascii="Times New Roman" w:hAnsi="Times New Roman" w:cs="Times New Roman"/>
          <w:color w:val="auto"/>
          <w:sz w:val="28"/>
          <w:szCs w:val="28"/>
        </w:rPr>
        <w:t xml:space="preserve"> </w:t>
      </w:r>
      <w:r>
        <w:rPr>
          <w:rFonts w:hint="eastAsia" w:ascii="Times New Roman" w:hAnsi="Times New Roman" w:cs="Times New Roman"/>
          <w:sz w:val="28"/>
          <w:szCs w:val="28"/>
        </w:rPr>
        <w:t>between alcohol-dependent mice and normal controls.</w:t>
      </w:r>
    </w:p>
    <w:p>
      <w:pPr>
        <w:rPr>
          <w:rFonts w:ascii="Times New Roman" w:hAnsi="Times New Roman" w:cs="Times New Roman"/>
          <w:b/>
          <w:bCs/>
          <w:sz w:val="28"/>
          <w:szCs w:val="28"/>
        </w:rPr>
      </w:pPr>
      <w:r>
        <w:rPr>
          <w:rFonts w:hint="eastAsia" w:ascii="Times New Roman" w:hAnsi="Times New Roman" w:cs="Times New Roman"/>
          <w:b/>
          <w:bCs/>
          <w:sz w:val="28"/>
          <w:szCs w:val="28"/>
        </w:rPr>
        <w:t>Methods:</w:t>
      </w:r>
    </w:p>
    <w:p>
      <w:pPr>
        <w:ind w:firstLine="560" w:firstLineChars="200"/>
        <w:rPr>
          <w:rFonts w:ascii="Times New Roman" w:hAnsi="Times New Roman" w:cs="Times New Roman"/>
          <w:sz w:val="28"/>
          <w:szCs w:val="28"/>
        </w:rPr>
      </w:pPr>
      <w:r>
        <w:rPr>
          <w:rFonts w:hint="eastAsia" w:ascii="Times New Roman" w:hAnsi="Times New Roman" w:cs="Times New Roman"/>
          <w:sz w:val="28"/>
          <w:szCs w:val="28"/>
        </w:rPr>
        <w:t>Chronic intermittent EtOH (CIE) exposure to ethanol was used to establish alcohol-dependent mice model. Adult male C57BL/6J mice were subjected to a protocol in which they were evaluated for baseline of ethanol intake using limited access drinking procedure, and then exposed to 4 weeks of intermittent vapourized ethanol (CIE) or air (Control) exposure in inhalation chambers. Following the last cycle, ethanol intake of both groups was tested to certify the alcohol dependence. Brain samples were collected to take high-throughput sequencing and bioinformatic analysis.</w:t>
      </w:r>
    </w:p>
    <w:p>
      <w:pPr>
        <w:rPr>
          <w:rFonts w:ascii="Times New Roman" w:hAnsi="Times New Roman" w:cs="Times New Roman"/>
          <w:sz w:val="28"/>
          <w:szCs w:val="28"/>
        </w:rPr>
      </w:pPr>
      <w:r>
        <w:rPr>
          <w:rFonts w:hint="eastAsia" w:ascii="Times New Roman" w:hAnsi="Times New Roman" w:cs="Times New Roman"/>
          <w:b/>
          <w:bCs/>
          <w:sz w:val="28"/>
          <w:szCs w:val="28"/>
        </w:rPr>
        <w:t>Results:</w:t>
      </w:r>
    </w:p>
    <w:p>
      <w:pPr>
        <w:widowControl/>
        <w:spacing w:line="18" w:lineRule="atLeast"/>
        <w:ind w:firstLine="560" w:firstLineChars="200"/>
        <w:rPr>
          <w:rFonts w:ascii="Times New Roman" w:hAnsi="Times New Roman" w:cs="Times New Roman"/>
          <w:sz w:val="28"/>
          <w:szCs w:val="28"/>
        </w:rPr>
      </w:pPr>
      <w:r>
        <w:rPr>
          <w:rFonts w:hint="eastAsia" w:ascii="Times New Roman" w:hAnsi="Times New Roman" w:cs="Times New Roman"/>
          <w:sz w:val="28"/>
          <w:szCs w:val="28"/>
        </w:rPr>
        <w:t>The baselines of both groups were almost same (Control 1.4</w:t>
      </w:r>
      <w:r>
        <w:rPr>
          <w:rFonts w:ascii="Times New Roman" w:hAnsi="Times New Roman" w:cs="Times New Roman"/>
          <w:sz w:val="28"/>
          <w:szCs w:val="28"/>
        </w:rPr>
        <w:t>6±</w:t>
      </w:r>
      <w:r>
        <w:rPr>
          <w:rFonts w:hint="eastAsia" w:ascii="Times New Roman" w:hAnsi="Times New Roman" w:cs="Times New Roman"/>
          <w:sz w:val="28"/>
          <w:szCs w:val="28"/>
        </w:rPr>
        <w:t xml:space="preserve">0.4g/Kg VS CIE </w:t>
      </w:r>
      <w:r>
        <w:rPr>
          <w:rFonts w:ascii="Times New Roman" w:hAnsi="Times New Roman" w:cs="Times New Roman"/>
          <w:sz w:val="28"/>
          <w:szCs w:val="28"/>
        </w:rPr>
        <w:t>1.3±0.35g/</w:t>
      </w:r>
      <w:r>
        <w:rPr>
          <w:rFonts w:hint="eastAsia" w:ascii="Times New Roman" w:hAnsi="Times New Roman" w:cs="Times New Roman"/>
          <w:sz w:val="28"/>
          <w:szCs w:val="28"/>
        </w:rPr>
        <w:t xml:space="preserve">Kg, </w:t>
      </w:r>
      <w:r>
        <w:rPr>
          <w:rFonts w:hint="eastAsia" w:ascii="Times New Roman" w:hAnsi="Times New Roman" w:cs="Times New Roman"/>
          <w:i/>
          <w:iCs/>
          <w:sz w:val="28"/>
          <w:szCs w:val="28"/>
        </w:rPr>
        <w:t>p</w:t>
      </w:r>
      <w:r>
        <w:rPr>
          <w:rFonts w:hint="eastAsia" w:ascii="Times New Roman" w:hAnsi="Times New Roman" w:cs="Times New Roman"/>
          <w:sz w:val="28"/>
          <w:szCs w:val="28"/>
        </w:rPr>
        <w:t>&gt;0.05). After the CIE exposure, the ethanol intake of CIE group (2.58</w:t>
      </w:r>
      <w:r>
        <w:rPr>
          <w:rFonts w:ascii="Times New Roman" w:hAnsi="Times New Roman" w:cs="Times New Roman"/>
          <w:sz w:val="28"/>
          <w:szCs w:val="28"/>
        </w:rPr>
        <w:t>±</w:t>
      </w:r>
      <w:r>
        <w:rPr>
          <w:rFonts w:hint="eastAsia" w:ascii="Times New Roman" w:hAnsi="Times New Roman" w:cs="Times New Roman"/>
          <w:sz w:val="28"/>
          <w:szCs w:val="28"/>
        </w:rPr>
        <w:t>0.3</w:t>
      </w:r>
      <w:r>
        <w:rPr>
          <w:rFonts w:ascii="Times New Roman" w:hAnsi="Times New Roman" w:cs="Times New Roman"/>
          <w:sz w:val="28"/>
          <w:szCs w:val="28"/>
        </w:rPr>
        <w:t>g/</w:t>
      </w:r>
      <w:r>
        <w:rPr>
          <w:rFonts w:hint="eastAsia" w:ascii="Times New Roman" w:hAnsi="Times New Roman" w:cs="Times New Roman"/>
          <w:sz w:val="28"/>
          <w:szCs w:val="28"/>
        </w:rPr>
        <w:t>Kg) was increased significantly compared by Control group (1.4</w:t>
      </w:r>
      <w:r>
        <w:rPr>
          <w:rFonts w:ascii="Times New Roman" w:hAnsi="Times New Roman" w:cs="Times New Roman"/>
          <w:sz w:val="28"/>
          <w:szCs w:val="28"/>
        </w:rPr>
        <w:t>±</w:t>
      </w:r>
      <w:r>
        <w:rPr>
          <w:rFonts w:hint="eastAsia" w:ascii="Times New Roman" w:hAnsi="Times New Roman" w:cs="Times New Roman"/>
          <w:sz w:val="28"/>
          <w:szCs w:val="28"/>
        </w:rPr>
        <w:t xml:space="preserve">0.38g/Kg, </w:t>
      </w:r>
      <w:r>
        <w:rPr>
          <w:rFonts w:hint="eastAsia" w:ascii="Times New Roman" w:hAnsi="Times New Roman" w:cs="Times New Roman"/>
          <w:i/>
          <w:iCs/>
          <w:sz w:val="28"/>
          <w:szCs w:val="28"/>
        </w:rPr>
        <w:t>p</w:t>
      </w:r>
      <w:r>
        <w:rPr>
          <w:rFonts w:hint="eastAsia" w:ascii="Times New Roman" w:hAnsi="Times New Roman" w:cs="Times New Roman"/>
          <w:sz w:val="28"/>
          <w:szCs w:val="28"/>
        </w:rPr>
        <w:t>&lt;0.05) and baseline (</w:t>
      </w:r>
      <w:r>
        <w:rPr>
          <w:rFonts w:hint="eastAsia" w:ascii="Times New Roman" w:hAnsi="Times New Roman" w:cs="Times New Roman"/>
          <w:i/>
          <w:iCs/>
          <w:sz w:val="28"/>
          <w:szCs w:val="28"/>
        </w:rPr>
        <w:t>p</w:t>
      </w:r>
      <w:r>
        <w:rPr>
          <w:rFonts w:hint="eastAsia" w:ascii="Times New Roman" w:hAnsi="Times New Roman" w:cs="Times New Roman"/>
          <w:sz w:val="28"/>
          <w:szCs w:val="28"/>
        </w:rPr>
        <w:t>&lt;0.05). The result from high-throughput sequencing revealed significant upregulation (n=153) of or downregulation (n=251) of 404 circRNAs in alcohol-dependent mice. By using GO database and KEGG pathway database, we found that genes of the differential circRNAs were significantly riched in protein modification process (GO:0036211), cellular protein metabolic process (GO:0044267), cellular component organization (GO:0016043), glutamatergic synapse (map04724), morphine addiction (map05032), retrograde endocannabinoid signaling (map04723), inositol phosphate metabolism (map00562), p</w:t>
      </w:r>
      <w:r>
        <w:rPr>
          <w:rFonts w:ascii="Times New Roman" w:hAnsi="Times New Roman" w:cs="Times New Roman"/>
          <w:sz w:val="28"/>
          <w:szCs w:val="28"/>
        </w:rPr>
        <w:t>hosphatidylinositol signaling</w:t>
      </w:r>
      <w:r>
        <w:rPr>
          <w:rFonts w:hint="eastAsia" w:ascii="Times New Roman" w:hAnsi="Times New Roman" w:cs="Times New Roman"/>
          <w:sz w:val="28"/>
          <w:szCs w:val="28"/>
        </w:rPr>
        <w:t xml:space="preserve"> </w:t>
      </w:r>
      <w:r>
        <w:rPr>
          <w:rFonts w:ascii="Times New Roman" w:hAnsi="Times New Roman" w:cs="Times New Roman"/>
          <w:sz w:val="28"/>
          <w:szCs w:val="28"/>
        </w:rPr>
        <w:t>system</w:t>
      </w:r>
      <w:r>
        <w:rPr>
          <w:rFonts w:hint="eastAsia" w:ascii="Times New Roman" w:hAnsi="Times New Roman" w:cs="Times New Roman"/>
          <w:sz w:val="28"/>
          <w:szCs w:val="28"/>
        </w:rPr>
        <w:t xml:space="preserve"> (map04070) (</w:t>
      </w:r>
      <w:r>
        <w:rPr>
          <w:rFonts w:hint="eastAsia" w:ascii="Times New Roman" w:hAnsi="Times New Roman" w:cs="Times New Roman"/>
          <w:i/>
          <w:iCs/>
          <w:sz w:val="28"/>
          <w:szCs w:val="28"/>
        </w:rPr>
        <w:t>p</w:t>
      </w:r>
      <w:r>
        <w:rPr>
          <w:rFonts w:hint="eastAsia" w:ascii="Times New Roman" w:hAnsi="Times New Roman" w:cs="Times New Roman"/>
          <w:sz w:val="28"/>
          <w:szCs w:val="28"/>
        </w:rPr>
        <w:t>&lt;1e-06, Rich Factor&gt;0.55).</w:t>
      </w:r>
    </w:p>
    <w:p>
      <w:pPr>
        <w:widowControl/>
        <w:spacing w:line="18" w:lineRule="atLeast"/>
        <w:rPr>
          <w:rFonts w:ascii="Times New Roman" w:hAnsi="Times New Roman" w:cs="Times New Roman"/>
          <w:b/>
          <w:bCs/>
          <w:sz w:val="28"/>
          <w:szCs w:val="28"/>
        </w:rPr>
      </w:pPr>
      <w:r>
        <w:rPr>
          <w:rFonts w:hint="eastAsia" w:ascii="Times New Roman" w:hAnsi="Times New Roman" w:cs="Times New Roman"/>
          <w:b/>
          <w:bCs/>
          <w:sz w:val="28"/>
          <w:szCs w:val="28"/>
        </w:rPr>
        <w:t>Conclusion:</w:t>
      </w:r>
    </w:p>
    <w:p>
      <w:pPr>
        <w:widowControl/>
        <w:spacing w:line="18" w:lineRule="atLeast"/>
        <w:ind w:firstLine="560" w:firstLineChars="200"/>
        <w:rPr>
          <w:rFonts w:ascii="Times New Roman" w:hAnsi="Times New Roman" w:cs="Times New Roman"/>
          <w:sz w:val="28"/>
          <w:szCs w:val="28"/>
        </w:rPr>
      </w:pPr>
      <w:r>
        <w:rPr>
          <w:rFonts w:hint="eastAsia" w:ascii="Times New Roman" w:hAnsi="Times New Roman" w:cs="Times New Roman"/>
          <w:sz w:val="28"/>
          <w:szCs w:val="28"/>
        </w:rPr>
        <w:t>CircRNAs</w:t>
      </w:r>
      <w:bookmarkStart w:id="0" w:name="_GoBack"/>
      <w:bookmarkEnd w:id="0"/>
      <w:r>
        <w:rPr>
          <w:rFonts w:hint="eastAsia" w:ascii="Times New Roman" w:hAnsi="Times New Roman" w:cs="Times New Roman"/>
          <w:sz w:val="28"/>
          <w:szCs w:val="28"/>
        </w:rPr>
        <w:t xml:space="preserve"> e</w:t>
      </w:r>
      <w:r>
        <w:rPr>
          <w:rFonts w:ascii="Times New Roman" w:hAnsi="Times New Roman" w:cs="Times New Roman"/>
          <w:sz w:val="28"/>
          <w:szCs w:val="28"/>
        </w:rPr>
        <w:t>xpression</w:t>
      </w:r>
      <w:r>
        <w:rPr>
          <w:rFonts w:hint="eastAsia" w:ascii="Times New Roman" w:hAnsi="Times New Roman" w:cs="Times New Roman"/>
          <w:sz w:val="28"/>
          <w:szCs w:val="28"/>
        </w:rPr>
        <w:t xml:space="preserve"> showed a change </w:t>
      </w:r>
      <w:r>
        <w:rPr>
          <w:rFonts w:ascii="Times New Roman" w:hAnsi="Times New Roman" w:cs="Times New Roman"/>
          <w:color w:val="auto"/>
          <w:sz w:val="30"/>
          <w:szCs w:val="30"/>
        </w:rPr>
        <w:t xml:space="preserve">in </w:t>
      </w:r>
      <w:r>
        <w:rPr>
          <w:rFonts w:hint="eastAsia" w:ascii="Times New Roman" w:hAnsi="Times New Roman" w:cs="Times New Roman"/>
          <w:color w:val="auto"/>
          <w:sz w:val="30"/>
          <w:szCs w:val="30"/>
        </w:rPr>
        <w:t>brain tissue</w:t>
      </w:r>
      <w:r>
        <w:rPr>
          <w:rFonts w:hint="eastAsia" w:ascii="Times New Roman" w:hAnsi="Times New Roman" w:cs="Times New Roman"/>
          <w:color w:val="auto"/>
          <w:sz w:val="28"/>
          <w:szCs w:val="28"/>
        </w:rPr>
        <w:t xml:space="preserve"> o</w:t>
      </w:r>
      <w:r>
        <w:rPr>
          <w:rFonts w:hint="eastAsia" w:ascii="Times New Roman" w:hAnsi="Times New Roman" w:cs="Times New Roman"/>
          <w:sz w:val="28"/>
          <w:szCs w:val="28"/>
        </w:rPr>
        <w:t>f alcohol-dependent mice, and the function of differential circRNAs may be focus on the change of neurotransmitter and signal transduction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Menlo">
    <w:altName w:val="Segoe Print"/>
    <w:panose1 w:val="00000000000000000000"/>
    <w:charset w:val="00"/>
    <w:family w:val="auto"/>
    <w:pitch w:val="default"/>
    <w:sig w:usb0="00000000" w:usb1="00000000" w:usb2="00000000" w:usb3="00000000" w:csb0="00000000" w:csb1="00000000"/>
  </w:font>
  <w:font w:name="AdvTT5235d5a9">
    <w:altName w:val="Times New Roman"/>
    <w:panose1 w:val="00000000000000000000"/>
    <w:charset w:val="00"/>
    <w:family w:val="roman"/>
    <w:pitch w:val="default"/>
    <w:sig w:usb0="00000000" w:usb1="00000000" w:usb2="00000000" w:usb3="00000000" w:csb0="00000001" w:csb1="00000000"/>
  </w:font>
  <w:font w:name="Calibri Light">
    <w:panose1 w:val="020F0302020204030204"/>
    <w:charset w:val="00"/>
    <w:family w:val="roman"/>
    <w:pitch w:val="default"/>
    <w:sig w:usb0="E0002AFF" w:usb1="C000247B" w:usb2="00000009" w:usb3="00000000" w:csb0="200001FF"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2E6AED"/>
    <w:rsid w:val="005E5C0A"/>
    <w:rsid w:val="009D31EC"/>
    <w:rsid w:val="49FE7438"/>
    <w:rsid w:val="51760E79"/>
    <w:rsid w:val="642E063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unhideWhenUsed/>
    <w:uiPriority w:val="1"/>
  </w:style>
  <w:style w:type="table" w:default="1" w:styleId="11">
    <w:name w:val="Normal Table"/>
    <w:unhideWhenUsed/>
    <w:uiPriority w:val="99"/>
    <w:tblPr>
      <w:tblLayout w:type="fixed"/>
      <w:tblCellMar>
        <w:top w:w="0" w:type="dxa"/>
        <w:left w:w="108" w:type="dxa"/>
        <w:bottom w:w="0" w:type="dxa"/>
        <w:right w:w="108" w:type="dxa"/>
      </w:tblCellMar>
    </w:tblPr>
  </w:style>
  <w:style w:type="character" w:styleId="3">
    <w:name w:val="Strong"/>
    <w:basedOn w:val="2"/>
    <w:qFormat/>
    <w:uiPriority w:val="0"/>
    <w:rPr>
      <w:b/>
      <w:shd w:val="clear" w:color="auto" w:fill="5CB85C"/>
    </w:rPr>
  </w:style>
  <w:style w:type="character" w:styleId="4">
    <w:name w:val="FollowedHyperlink"/>
    <w:basedOn w:val="2"/>
    <w:uiPriority w:val="0"/>
    <w:rPr>
      <w:color w:val="428BCA"/>
      <w:u w:val="none"/>
    </w:rPr>
  </w:style>
  <w:style w:type="character" w:styleId="5">
    <w:name w:val="HTML Definition"/>
    <w:basedOn w:val="2"/>
    <w:uiPriority w:val="0"/>
    <w:rPr>
      <w:i/>
    </w:rPr>
  </w:style>
  <w:style w:type="character" w:styleId="6">
    <w:name w:val="Hyperlink"/>
    <w:basedOn w:val="2"/>
    <w:uiPriority w:val="0"/>
    <w:rPr>
      <w:color w:val="428BCA"/>
      <w:u w:val="none"/>
    </w:rPr>
  </w:style>
  <w:style w:type="character" w:styleId="7">
    <w:name w:val="HTML Code"/>
    <w:basedOn w:val="2"/>
    <w:uiPriority w:val="0"/>
    <w:rPr>
      <w:rFonts w:ascii="Menlo" w:hAnsi="Menlo" w:eastAsia="Menlo" w:cs="Menlo"/>
      <w:color w:val="C7254E"/>
      <w:sz w:val="21"/>
      <w:szCs w:val="21"/>
      <w:shd w:val="clear" w:color="auto" w:fill="F9F2F4"/>
    </w:rPr>
  </w:style>
  <w:style w:type="character" w:styleId="8">
    <w:name w:val="HTML Cite"/>
    <w:basedOn w:val="2"/>
    <w:qFormat/>
    <w:uiPriority w:val="0"/>
  </w:style>
  <w:style w:type="character" w:styleId="9">
    <w:name w:val="HTML Keyboard"/>
    <w:basedOn w:val="2"/>
    <w:qFormat/>
    <w:uiPriority w:val="0"/>
    <w:rPr>
      <w:rFonts w:hint="default" w:ascii="Menlo" w:hAnsi="Menlo" w:eastAsia="Menlo" w:cs="Menlo"/>
      <w:color w:val="FFFFFF"/>
      <w:sz w:val="21"/>
      <w:szCs w:val="21"/>
      <w:shd w:val="clear" w:color="auto" w:fill="333333"/>
    </w:rPr>
  </w:style>
  <w:style w:type="character" w:styleId="10">
    <w:name w:val="HTML Sample"/>
    <w:basedOn w:val="2"/>
    <w:qFormat/>
    <w:uiPriority w:val="0"/>
    <w:rPr>
      <w:rFonts w:hint="default" w:ascii="Menlo" w:hAnsi="Menlo" w:eastAsia="Menlo" w:cs="Menlo"/>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398</Words>
  <Characters>2275</Characters>
  <Lines>18</Lines>
  <Paragraphs>5</Paragraphs>
  <TotalTime>0</TotalTime>
  <ScaleCrop>false</ScaleCrop>
  <LinksUpToDate>false</LinksUpToDate>
  <CharactersWithSpaces>2668</CharactersWithSpaces>
  <Application>WPS Office_10.1.0.5803_F1E327BC-269C-435d-A152-05C5408002CA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GZ</dc:creator>
  <cp:lastModifiedBy>GZ</cp:lastModifiedBy>
  <dcterms:modified xsi:type="dcterms:W3CDTF">2017-07-22T04:23:36Z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2052-10.1.0.5803</vt:lpwstr>
  </property>
</Properties>
</file>