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504" w:rsidRPr="005948BF" w:rsidRDefault="00AF1504" w:rsidP="005948BF">
      <w:pPr>
        <w:pStyle w:val="ListParagraph"/>
        <w:spacing w:after="0" w:line="360" w:lineRule="auto"/>
        <w:ind w:left="0"/>
        <w:jc w:val="both"/>
        <w:rPr>
          <w:rFonts w:asciiTheme="minorHAnsi" w:hAnsiTheme="minorHAnsi"/>
        </w:rPr>
      </w:pPr>
      <w:r w:rsidRPr="005948BF">
        <w:rPr>
          <w:rFonts w:asciiTheme="minorHAnsi" w:hAnsiTheme="minorHAnsi"/>
        </w:rPr>
        <w:t xml:space="preserve">Addiction is a chronic health condition that affects 40 percent of the American public.  It costs society about $600 billion annually, is responsible for 25% of all hospital admissions, and is implicated in 80% of incarcerations.  Of the estimated 23-25 million people who need addiction treatment, about 2.5 million (10%) receive it.  Stigma, insurance barriers, and the perception by many that they don’t have a problem have limited access to care.  Efforts to reduce stigma through awareness programs, the 2008 Mental Health and Addiction Parity Act, and the influx of newly insured patients through the ACA have sparked investor interest and </w:t>
      </w:r>
      <w:r w:rsidRPr="005948BF">
        <w:rPr>
          <w:rFonts w:asciiTheme="minorHAnsi" w:hAnsiTheme="minorHAnsi"/>
        </w:rPr>
        <w:t>led to rapid growth of inpatient rehabilitation programs.</w:t>
      </w:r>
      <w:r w:rsidRPr="005948BF">
        <w:rPr>
          <w:rFonts w:asciiTheme="minorHAnsi" w:hAnsiTheme="minorHAnsi"/>
        </w:rPr>
        <w:t xml:space="preserve">  </w:t>
      </w:r>
    </w:p>
    <w:p w:rsidR="00AF1504" w:rsidRPr="005948BF" w:rsidRDefault="005948BF" w:rsidP="005948BF">
      <w:pPr>
        <w:pStyle w:val="ListParagraph"/>
        <w:spacing w:after="0" w:line="360" w:lineRule="auto"/>
        <w:ind w:left="0"/>
        <w:jc w:val="both"/>
        <w:rPr>
          <w:rFonts w:asciiTheme="minorHAnsi" w:hAnsiTheme="minorHAnsi"/>
        </w:rPr>
      </w:pPr>
      <w:r>
        <w:rPr>
          <w:rFonts w:asciiTheme="minorHAnsi" w:hAnsiTheme="minorHAnsi"/>
        </w:rPr>
        <w:t>However, d</w:t>
      </w:r>
      <w:r w:rsidR="00AF1504" w:rsidRPr="005948BF">
        <w:rPr>
          <w:rFonts w:asciiTheme="minorHAnsi" w:hAnsiTheme="minorHAnsi"/>
        </w:rPr>
        <w:t xml:space="preserve">espite wider acceptance of addiction as a chronic brain disorder, treatment systems continue to be developed and defined by an emphasis on acute, time-limited treatments. </w:t>
      </w:r>
      <w:r w:rsidR="00AF1504" w:rsidRPr="005948BF">
        <w:rPr>
          <w:rFonts w:asciiTheme="minorHAnsi" w:hAnsiTheme="minorHAnsi"/>
        </w:rPr>
        <w:t xml:space="preserve"> </w:t>
      </w:r>
      <w:r w:rsidR="00AF1504" w:rsidRPr="005948BF">
        <w:rPr>
          <w:rFonts w:asciiTheme="minorHAnsi" w:hAnsiTheme="minorHAnsi"/>
        </w:rPr>
        <w:t xml:space="preserve">For more than forty years, addiction treatment has been defined and judged by this misplaced perception that a fixed </w:t>
      </w:r>
      <w:bookmarkStart w:id="0" w:name="_GoBack"/>
      <w:bookmarkEnd w:id="0"/>
      <w:r w:rsidR="00AF1504" w:rsidRPr="005948BF">
        <w:rPr>
          <w:rFonts w:asciiTheme="minorHAnsi" w:hAnsiTheme="minorHAnsi"/>
        </w:rPr>
        <w:t xml:space="preserve">duration of treatment will “fix the problem”.   Patients and families </w:t>
      </w:r>
      <w:r w:rsidR="00AF1504" w:rsidRPr="005948BF">
        <w:rPr>
          <w:rFonts w:asciiTheme="minorHAnsi" w:hAnsiTheme="minorHAnsi"/>
        </w:rPr>
        <w:t>have been</w:t>
      </w:r>
      <w:r w:rsidR="00AF1504" w:rsidRPr="005948BF">
        <w:rPr>
          <w:rFonts w:asciiTheme="minorHAnsi" w:hAnsiTheme="minorHAnsi"/>
        </w:rPr>
        <w:t xml:space="preserve"> led to believe that a month in rehab would “take care of the problem”.  </w:t>
      </w:r>
    </w:p>
    <w:p w:rsidR="00AF1504" w:rsidRPr="005948BF" w:rsidRDefault="00AF1504" w:rsidP="005948BF">
      <w:pPr>
        <w:pStyle w:val="ListParagraph"/>
        <w:spacing w:after="0" w:line="360" w:lineRule="auto"/>
        <w:ind w:left="0"/>
        <w:jc w:val="both"/>
        <w:rPr>
          <w:rFonts w:asciiTheme="minorHAnsi" w:hAnsiTheme="minorHAnsi"/>
        </w:rPr>
      </w:pPr>
      <w:r w:rsidRPr="005948BF">
        <w:rPr>
          <w:rFonts w:asciiTheme="minorHAnsi" w:hAnsiTheme="minorHAnsi"/>
        </w:rPr>
        <w:t xml:space="preserve">This fragmented approach fails to provide the life-long management necessary to ensure sustained remission.  </w:t>
      </w:r>
      <w:r w:rsidR="005948BF">
        <w:rPr>
          <w:rFonts w:asciiTheme="minorHAnsi" w:hAnsiTheme="minorHAnsi"/>
        </w:rPr>
        <w:t>The</w:t>
      </w:r>
      <w:r w:rsidRPr="005948BF">
        <w:rPr>
          <w:rFonts w:asciiTheme="minorHAnsi" w:hAnsiTheme="minorHAnsi"/>
        </w:rPr>
        <w:t xml:space="preserve"> greatly underemphasized problem is the absence of substantial and comprehensive community based continuing care and the paucity of prevention, early identification and intervention efforts.  </w:t>
      </w:r>
      <w:r w:rsidR="005948BF">
        <w:rPr>
          <w:rFonts w:asciiTheme="minorHAnsi" w:hAnsiTheme="minorHAnsi"/>
        </w:rPr>
        <w:t xml:space="preserve"> </w:t>
      </w:r>
      <w:r w:rsidRPr="005948BF">
        <w:rPr>
          <w:rFonts w:asciiTheme="minorHAnsi" w:hAnsiTheme="minorHAnsi"/>
        </w:rPr>
        <w:t xml:space="preserve">Relegating follow-up care, prevention and early intervention to the sidelines contradicts the standard treatment of chronic disease.  New ideas, innovative service delivery methods, alternative clinical interventions, and technological supports are not robustly developed, tested, and integrated.  </w:t>
      </w:r>
    </w:p>
    <w:p w:rsidR="00AF1504" w:rsidRPr="005948BF" w:rsidRDefault="00AF1504" w:rsidP="005948BF">
      <w:pPr>
        <w:pStyle w:val="BodyText"/>
        <w:spacing w:line="360" w:lineRule="auto"/>
        <w:ind w:left="0" w:right="158"/>
        <w:jc w:val="both"/>
      </w:pPr>
      <w:r w:rsidRPr="005948BF">
        <w:rPr>
          <w:color w:val="010202"/>
          <w:spacing w:val="-1"/>
        </w:rPr>
        <w:t>It</w:t>
      </w:r>
      <w:r w:rsidRPr="005948BF">
        <w:rPr>
          <w:color w:val="010202"/>
          <w:spacing w:val="3"/>
        </w:rPr>
        <w:t xml:space="preserve"> </w:t>
      </w:r>
      <w:r w:rsidRPr="005948BF">
        <w:rPr>
          <w:color w:val="010202"/>
          <w:spacing w:val="-1"/>
        </w:rPr>
        <w:t>is</w:t>
      </w:r>
      <w:r w:rsidRPr="005948BF">
        <w:rPr>
          <w:color w:val="010202"/>
          <w:spacing w:val="-2"/>
        </w:rPr>
        <w:t xml:space="preserve"> </w:t>
      </w:r>
      <w:r w:rsidRPr="005948BF">
        <w:rPr>
          <w:color w:val="010202"/>
          <w:spacing w:val="-1"/>
        </w:rPr>
        <w:t>time</w:t>
      </w:r>
      <w:r w:rsidRPr="005948BF">
        <w:rPr>
          <w:color w:val="010202"/>
          <w:spacing w:val="1"/>
        </w:rPr>
        <w:t xml:space="preserve"> </w:t>
      </w:r>
      <w:r w:rsidRPr="005948BF">
        <w:rPr>
          <w:color w:val="010202"/>
          <w:spacing w:val="-1"/>
        </w:rPr>
        <w:t xml:space="preserve">for </w:t>
      </w:r>
      <w:r w:rsidRPr="005948BF">
        <w:rPr>
          <w:color w:val="010202"/>
        </w:rPr>
        <w:t xml:space="preserve">a </w:t>
      </w:r>
      <w:r w:rsidRPr="005948BF">
        <w:rPr>
          <w:color w:val="010202"/>
          <w:spacing w:val="-1"/>
        </w:rPr>
        <w:t>new</w:t>
      </w:r>
      <w:r w:rsidRPr="005948BF">
        <w:rPr>
          <w:color w:val="010202"/>
          <w:spacing w:val="-2"/>
        </w:rPr>
        <w:t xml:space="preserve"> </w:t>
      </w:r>
      <w:r w:rsidRPr="005948BF">
        <w:rPr>
          <w:color w:val="010202"/>
          <w:spacing w:val="-1"/>
        </w:rPr>
        <w:t>vision that</w:t>
      </w:r>
      <w:r w:rsidRPr="005948BF">
        <w:rPr>
          <w:color w:val="010202"/>
          <w:spacing w:val="1"/>
        </w:rPr>
        <w:t xml:space="preserve"> </w:t>
      </w:r>
      <w:r w:rsidRPr="005948BF">
        <w:rPr>
          <w:color w:val="010202"/>
          <w:spacing w:val="-1"/>
        </w:rPr>
        <w:t>addresses</w:t>
      </w:r>
      <w:r w:rsidRPr="005948BF">
        <w:rPr>
          <w:color w:val="010202"/>
        </w:rPr>
        <w:t xml:space="preserve"> </w:t>
      </w:r>
      <w:r w:rsidRPr="005948BF">
        <w:rPr>
          <w:color w:val="010202"/>
          <w:spacing w:val="-1"/>
        </w:rPr>
        <w:t>addiction as</w:t>
      </w:r>
      <w:r w:rsidRPr="005948BF">
        <w:rPr>
          <w:color w:val="010202"/>
          <w:spacing w:val="1"/>
        </w:rPr>
        <w:t xml:space="preserve"> </w:t>
      </w:r>
      <w:r w:rsidRPr="005948BF">
        <w:rPr>
          <w:color w:val="010202"/>
          <w:spacing w:val="-1"/>
        </w:rPr>
        <w:t>the</w:t>
      </w:r>
      <w:r w:rsidRPr="005948BF">
        <w:rPr>
          <w:rFonts w:ascii="Times New Roman"/>
          <w:color w:val="010202"/>
          <w:spacing w:val="87"/>
        </w:rPr>
        <w:t xml:space="preserve"> </w:t>
      </w:r>
      <w:r w:rsidRPr="005948BF">
        <w:rPr>
          <w:color w:val="010202"/>
          <w:spacing w:val="-1"/>
        </w:rPr>
        <w:t>chronic</w:t>
      </w:r>
      <w:r w:rsidRPr="005948BF">
        <w:rPr>
          <w:color w:val="010202"/>
        </w:rPr>
        <w:t xml:space="preserve"> </w:t>
      </w:r>
      <w:r w:rsidRPr="005948BF">
        <w:rPr>
          <w:color w:val="010202"/>
          <w:spacing w:val="-1"/>
        </w:rPr>
        <w:t>disease</w:t>
      </w:r>
      <w:r w:rsidRPr="005948BF">
        <w:rPr>
          <w:color w:val="010202"/>
          <w:spacing w:val="1"/>
        </w:rPr>
        <w:t xml:space="preserve"> </w:t>
      </w:r>
      <w:r w:rsidRPr="005948BF">
        <w:rPr>
          <w:color w:val="010202"/>
          <w:spacing w:val="-2"/>
        </w:rPr>
        <w:t>it</w:t>
      </w:r>
      <w:r w:rsidRPr="005948BF">
        <w:rPr>
          <w:color w:val="010202"/>
        </w:rPr>
        <w:t xml:space="preserve"> </w:t>
      </w:r>
      <w:r w:rsidRPr="005948BF">
        <w:rPr>
          <w:color w:val="010202"/>
          <w:spacing w:val="-1"/>
        </w:rPr>
        <w:t>is.  This workshop will describe</w:t>
      </w:r>
      <w:r w:rsidRPr="005948BF">
        <w:rPr>
          <w:color w:val="010202"/>
          <w:spacing w:val="1"/>
        </w:rPr>
        <w:t xml:space="preserve"> </w:t>
      </w:r>
      <w:r w:rsidRPr="005948BF">
        <w:rPr>
          <w:color w:val="010202"/>
        </w:rPr>
        <w:t xml:space="preserve">an </w:t>
      </w:r>
      <w:r w:rsidRPr="005948BF">
        <w:rPr>
          <w:color w:val="010202"/>
          <w:spacing w:val="-1"/>
        </w:rPr>
        <w:t>approach that</w:t>
      </w:r>
      <w:r w:rsidRPr="005948BF">
        <w:rPr>
          <w:color w:val="010202"/>
          <w:spacing w:val="-2"/>
        </w:rPr>
        <w:t xml:space="preserve"> </w:t>
      </w:r>
      <w:r w:rsidRPr="005948BF">
        <w:rPr>
          <w:color w:val="010202"/>
          <w:spacing w:val="-1"/>
        </w:rPr>
        <w:t>incorporates</w:t>
      </w:r>
      <w:r w:rsidRPr="005948BF">
        <w:rPr>
          <w:color w:val="010202"/>
        </w:rPr>
        <w:t xml:space="preserve"> </w:t>
      </w:r>
      <w:r w:rsidRPr="005948BF">
        <w:rPr>
          <w:color w:val="010202"/>
          <w:spacing w:val="-1"/>
        </w:rPr>
        <w:t>prevention, early</w:t>
      </w:r>
      <w:r w:rsidRPr="005948BF">
        <w:rPr>
          <w:rFonts w:ascii="Times New Roman"/>
          <w:color w:val="010202"/>
          <w:spacing w:val="81"/>
        </w:rPr>
        <w:t xml:space="preserve"> </w:t>
      </w:r>
      <w:r w:rsidRPr="005948BF">
        <w:rPr>
          <w:color w:val="010202"/>
          <w:spacing w:val="-1"/>
        </w:rPr>
        <w:t>intervention,</w:t>
      </w:r>
      <w:r w:rsidRPr="005948BF">
        <w:rPr>
          <w:color w:val="010202"/>
          <w:spacing w:val="-2"/>
        </w:rPr>
        <w:t xml:space="preserve"> </w:t>
      </w:r>
      <w:r w:rsidRPr="005948BF">
        <w:rPr>
          <w:color w:val="010202"/>
          <w:spacing w:val="-1"/>
        </w:rPr>
        <w:t>and extended</w:t>
      </w:r>
      <w:r w:rsidRPr="005948BF">
        <w:rPr>
          <w:color w:val="010202"/>
          <w:spacing w:val="-3"/>
        </w:rPr>
        <w:t xml:space="preserve"> </w:t>
      </w:r>
      <w:r w:rsidRPr="005948BF">
        <w:rPr>
          <w:color w:val="010202"/>
          <w:spacing w:val="-1"/>
        </w:rPr>
        <w:t>engagement</w:t>
      </w:r>
      <w:r w:rsidRPr="005948BF">
        <w:rPr>
          <w:color w:val="010202"/>
          <w:spacing w:val="-2"/>
        </w:rPr>
        <w:t xml:space="preserve"> </w:t>
      </w:r>
      <w:r w:rsidRPr="005948BF">
        <w:rPr>
          <w:color w:val="010202"/>
          <w:spacing w:val="-1"/>
        </w:rPr>
        <w:t>with traditional</w:t>
      </w:r>
      <w:r w:rsidRPr="005948BF">
        <w:rPr>
          <w:color w:val="010202"/>
        </w:rPr>
        <w:t xml:space="preserve"> </w:t>
      </w:r>
      <w:r w:rsidRPr="005948BF">
        <w:rPr>
          <w:color w:val="010202"/>
          <w:spacing w:val="-1"/>
        </w:rPr>
        <w:t>models</w:t>
      </w:r>
      <w:r w:rsidRPr="005948BF">
        <w:rPr>
          <w:color w:val="010202"/>
          <w:spacing w:val="-2"/>
        </w:rPr>
        <w:t xml:space="preserve"> </w:t>
      </w:r>
      <w:r w:rsidRPr="005948BF">
        <w:rPr>
          <w:color w:val="010202"/>
        </w:rPr>
        <w:t>of</w:t>
      </w:r>
      <w:r w:rsidRPr="005948BF">
        <w:rPr>
          <w:color w:val="010202"/>
          <w:spacing w:val="-3"/>
        </w:rPr>
        <w:t xml:space="preserve"> </w:t>
      </w:r>
      <w:r w:rsidRPr="005948BF">
        <w:rPr>
          <w:color w:val="010202"/>
        </w:rPr>
        <w:t>care</w:t>
      </w:r>
      <w:r w:rsidRPr="005948BF">
        <w:rPr>
          <w:color w:val="010202"/>
          <w:spacing w:val="-2"/>
        </w:rPr>
        <w:t xml:space="preserve"> </w:t>
      </w:r>
      <w:r w:rsidRPr="005948BF">
        <w:rPr>
          <w:color w:val="010202"/>
        </w:rPr>
        <w:t>to</w:t>
      </w:r>
      <w:r w:rsidRPr="005948BF">
        <w:rPr>
          <w:color w:val="010202"/>
          <w:spacing w:val="-1"/>
        </w:rPr>
        <w:t xml:space="preserve"> create </w:t>
      </w:r>
      <w:r w:rsidRPr="005948BF">
        <w:rPr>
          <w:color w:val="010202"/>
        </w:rPr>
        <w:t xml:space="preserve">a </w:t>
      </w:r>
      <w:r w:rsidRPr="005948BF">
        <w:rPr>
          <w:color w:val="010202"/>
          <w:spacing w:val="-1"/>
        </w:rPr>
        <w:t>seamless,</w:t>
      </w:r>
      <w:r w:rsidRPr="005948BF">
        <w:rPr>
          <w:color w:val="010202"/>
        </w:rPr>
        <w:t xml:space="preserve"> </w:t>
      </w:r>
      <w:r w:rsidRPr="005948BF">
        <w:rPr>
          <w:color w:val="010202"/>
          <w:spacing w:val="-1"/>
        </w:rPr>
        <w:t>integrated</w:t>
      </w:r>
      <w:r w:rsidRPr="005948BF">
        <w:rPr>
          <w:rFonts w:ascii="Times New Roman"/>
          <w:color w:val="010202"/>
          <w:spacing w:val="81"/>
        </w:rPr>
        <w:t xml:space="preserve"> </w:t>
      </w:r>
      <w:r w:rsidRPr="005948BF">
        <w:rPr>
          <w:color w:val="010202"/>
          <w:spacing w:val="-1"/>
        </w:rPr>
        <w:t xml:space="preserve">system </w:t>
      </w:r>
      <w:r w:rsidRPr="005948BF">
        <w:rPr>
          <w:color w:val="010202"/>
        </w:rPr>
        <w:t>of</w:t>
      </w:r>
      <w:r w:rsidRPr="005948BF">
        <w:rPr>
          <w:color w:val="010202"/>
          <w:spacing w:val="-3"/>
        </w:rPr>
        <w:t xml:space="preserve"> </w:t>
      </w:r>
      <w:r w:rsidRPr="005948BF">
        <w:rPr>
          <w:color w:val="010202"/>
        </w:rPr>
        <w:t>care</w:t>
      </w:r>
      <w:r w:rsidRPr="005948BF">
        <w:rPr>
          <w:color w:val="010202"/>
          <w:spacing w:val="-2"/>
        </w:rPr>
        <w:t xml:space="preserve"> </w:t>
      </w:r>
      <w:r w:rsidRPr="005948BF">
        <w:rPr>
          <w:color w:val="010202"/>
          <w:spacing w:val="-1"/>
        </w:rPr>
        <w:t xml:space="preserve">that </w:t>
      </w:r>
      <w:r w:rsidRPr="005948BF">
        <w:rPr>
          <w:color w:val="010202"/>
        </w:rPr>
        <w:t xml:space="preserve">addresses addiction as a chronic condition </w:t>
      </w:r>
      <w:r w:rsidR="005948BF">
        <w:rPr>
          <w:color w:val="010202"/>
        </w:rPr>
        <w:t>that can</w:t>
      </w:r>
      <w:r w:rsidRPr="005948BF">
        <w:rPr>
          <w:color w:val="010202"/>
          <w:spacing w:val="-1"/>
        </w:rPr>
        <w:t xml:space="preserve"> produce more</w:t>
      </w:r>
      <w:r w:rsidRPr="005948BF">
        <w:rPr>
          <w:color w:val="010202"/>
          <w:spacing w:val="1"/>
        </w:rPr>
        <w:t xml:space="preserve"> </w:t>
      </w:r>
      <w:r w:rsidRPr="005948BF">
        <w:rPr>
          <w:color w:val="010202"/>
          <w:spacing w:val="-1"/>
        </w:rPr>
        <w:t>favorable</w:t>
      </w:r>
      <w:r w:rsidRPr="005948BF">
        <w:rPr>
          <w:color w:val="010202"/>
          <w:spacing w:val="1"/>
        </w:rPr>
        <w:t xml:space="preserve"> </w:t>
      </w:r>
      <w:r w:rsidRPr="005948BF">
        <w:rPr>
          <w:color w:val="010202"/>
          <w:spacing w:val="-1"/>
        </w:rPr>
        <w:t>long term</w:t>
      </w:r>
      <w:r w:rsidR="005948BF">
        <w:rPr>
          <w:color w:val="010202"/>
          <w:spacing w:val="-1"/>
        </w:rPr>
        <w:t xml:space="preserve"> </w:t>
      </w:r>
      <w:r w:rsidRPr="005948BF">
        <w:rPr>
          <w:color w:val="010202"/>
          <w:spacing w:val="-1"/>
        </w:rPr>
        <w:t>outcomes.</w:t>
      </w:r>
    </w:p>
    <w:p w:rsidR="00AF1504" w:rsidRPr="005948BF" w:rsidRDefault="00AF1504" w:rsidP="005948BF">
      <w:pPr>
        <w:spacing w:line="360" w:lineRule="auto"/>
        <w:jc w:val="both"/>
      </w:pPr>
    </w:p>
    <w:sectPr w:rsidR="00AF1504" w:rsidRPr="005948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9C0"/>
    <w:rsid w:val="0049728D"/>
    <w:rsid w:val="004F060D"/>
    <w:rsid w:val="005948BF"/>
    <w:rsid w:val="006039C0"/>
    <w:rsid w:val="0086265E"/>
    <w:rsid w:val="00AF1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703D6-7B33-45D9-A159-B5F2691F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039C0"/>
    <w:pPr>
      <w:widowControl w:val="0"/>
      <w:spacing w:after="0" w:line="240" w:lineRule="auto"/>
      <w:ind w:left="119"/>
    </w:pPr>
    <w:rPr>
      <w:rFonts w:ascii="Calibri" w:eastAsia="Calibri" w:hAnsi="Calibri"/>
    </w:rPr>
  </w:style>
  <w:style w:type="character" w:customStyle="1" w:styleId="BodyTextChar">
    <w:name w:val="Body Text Char"/>
    <w:basedOn w:val="DefaultParagraphFont"/>
    <w:link w:val="BodyText"/>
    <w:uiPriority w:val="1"/>
    <w:rsid w:val="006039C0"/>
    <w:rPr>
      <w:rFonts w:ascii="Calibri" w:eastAsia="Calibri" w:hAnsi="Calibri"/>
    </w:rPr>
  </w:style>
  <w:style w:type="paragraph" w:styleId="ListParagraph">
    <w:name w:val="List Paragraph"/>
    <w:basedOn w:val="Normal"/>
    <w:uiPriority w:val="34"/>
    <w:qFormat/>
    <w:rsid w:val="00AF1504"/>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Tamasi</dc:creator>
  <cp:keywords/>
  <dc:description/>
  <cp:lastModifiedBy>Ray Tamasi</cp:lastModifiedBy>
  <cp:revision>2</cp:revision>
  <dcterms:created xsi:type="dcterms:W3CDTF">2016-08-25T23:57:00Z</dcterms:created>
  <dcterms:modified xsi:type="dcterms:W3CDTF">2016-08-26T00:25:00Z</dcterms:modified>
</cp:coreProperties>
</file>