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047" w:rsidRPr="00C16047" w:rsidRDefault="00C16047" w:rsidP="00C16047">
      <w:pPr>
        <w:shd w:val="clear" w:color="auto" w:fill="FFFFFF"/>
        <w:bidi w:val="0"/>
        <w:spacing w:after="450" w:line="240" w:lineRule="auto"/>
        <w:outlineLvl w:val="0"/>
        <w:rPr>
          <w:rFonts w:ascii="Georgia" w:eastAsia="Times New Roman" w:hAnsi="Georgia" w:cs="Times New Roman"/>
          <w:color w:val="222222"/>
          <w:kern w:val="36"/>
          <w:sz w:val="32"/>
          <w:szCs w:val="32"/>
        </w:rPr>
      </w:pPr>
      <w:r w:rsidRPr="00C16047">
        <w:rPr>
          <w:rFonts w:ascii="Georgia" w:eastAsia="Times New Roman" w:hAnsi="Georgia" w:cs="Times New Roman"/>
          <w:color w:val="222222"/>
          <w:kern w:val="36"/>
          <w:sz w:val="32"/>
          <w:szCs w:val="32"/>
        </w:rPr>
        <w:t>The prevalence of Helicobacter pylori infection,(gastritis)in meth amphetamine abuser patients</w:t>
      </w:r>
    </w:p>
    <w:p w:rsidR="00C16047" w:rsidRPr="00C16047" w:rsidRDefault="00C16047" w:rsidP="00C16047">
      <w:pPr>
        <w:bidi w:val="0"/>
        <w:spacing w:after="150" w:line="240" w:lineRule="auto"/>
        <w:rPr>
          <w:rFonts w:ascii="Arial" w:eastAsia="Times New Roman" w:hAnsi="Arial" w:cs="Arial"/>
          <w:sz w:val="24"/>
          <w:szCs w:val="24"/>
        </w:rPr>
      </w:pPr>
      <w:r w:rsidRPr="00C16047">
        <w:rPr>
          <w:rFonts w:ascii="Arial" w:eastAsia="Times New Roman" w:hAnsi="Arial" w:cs="Arial"/>
          <w:b/>
          <w:bCs/>
          <w:sz w:val="24"/>
          <w:szCs w:val="24"/>
        </w:rPr>
        <w:t>Abstract</w:t>
      </w:r>
    </w:p>
    <w:p w:rsidR="008267E9" w:rsidRDefault="00C16047" w:rsidP="00C16047">
      <w:pPr>
        <w:jc w:val="right"/>
        <w:rPr>
          <w:rFonts w:hint="cs"/>
          <w:rtl/>
        </w:rPr>
      </w:pPr>
      <w:r w:rsidRPr="00C16047">
        <w:rPr>
          <w:rFonts w:ascii="Arial" w:eastAsia="Times New Roman" w:hAnsi="Arial" w:cs="Arial"/>
          <w:sz w:val="24"/>
          <w:szCs w:val="24"/>
        </w:rPr>
        <w:t>The prevalence of Helicobacter pylori infection,(gastritis)in meth amphetamine abuser patients</w:t>
      </w:r>
      <w:r w:rsidRPr="00C16047">
        <w:rPr>
          <w:rFonts w:ascii="Arial" w:eastAsia="Times New Roman" w:hAnsi="Arial" w:cs="Arial"/>
          <w:sz w:val="24"/>
          <w:szCs w:val="24"/>
        </w:rPr>
        <w:br/>
        <w:t>Author: Dr Mahsa Houshdar, Psychiatrist, CEO of Hooshdar Medical Technology Company</w:t>
      </w:r>
      <w:r w:rsidRPr="00C16047">
        <w:rPr>
          <w:rFonts w:ascii="Arial" w:eastAsia="Times New Roman" w:hAnsi="Arial" w:cs="Arial"/>
          <w:sz w:val="24"/>
          <w:szCs w:val="24"/>
        </w:rPr>
        <w:br/>
        <w:t>Email: mhooshdar@gmail.com</w:t>
      </w:r>
      <w:r w:rsidRPr="00C16047">
        <w:rPr>
          <w:rFonts w:ascii="Arial" w:eastAsia="Times New Roman" w:hAnsi="Arial" w:cs="Arial"/>
          <w:sz w:val="24"/>
          <w:szCs w:val="24"/>
        </w:rPr>
        <w:br/>
        <w:t>Following the program of researching metabolic changes in methamphetamine abuser patients,</w:t>
      </w:r>
      <w:r w:rsidRPr="00C16047">
        <w:rPr>
          <w:rFonts w:ascii="Arial" w:eastAsia="Times New Roman" w:hAnsi="Arial" w:cs="Arial"/>
          <w:sz w:val="24"/>
          <w:szCs w:val="24"/>
        </w:rPr>
        <w:br/>
        <w:t>we have earned these data:</w:t>
      </w:r>
      <w:r w:rsidRPr="00C16047">
        <w:rPr>
          <w:rFonts w:ascii="Arial" w:eastAsia="Times New Roman" w:hAnsi="Arial" w:cs="Arial"/>
          <w:sz w:val="24"/>
          <w:szCs w:val="24"/>
        </w:rPr>
        <w:br/>
        <w:t>1- High prevalence of vitamin B12 deficiency in methamphetamine abuser patients (%56) (1).</w:t>
      </w:r>
      <w:r w:rsidRPr="00C16047">
        <w:rPr>
          <w:rFonts w:ascii="Arial" w:eastAsia="Times New Roman" w:hAnsi="Arial" w:cs="Arial"/>
          <w:sz w:val="24"/>
          <w:szCs w:val="24"/>
        </w:rPr>
        <w:br/>
        <w:t>2-High prevalence of reactive hypoglycemia in methamphetamine abuser patients (%35.7)(2).</w:t>
      </w:r>
      <w:r w:rsidRPr="00C16047">
        <w:rPr>
          <w:rFonts w:ascii="Arial" w:eastAsia="Times New Roman" w:hAnsi="Arial" w:cs="Arial"/>
          <w:sz w:val="24"/>
          <w:szCs w:val="24"/>
        </w:rPr>
        <w:br/>
        <w:t>Following these findings we decided to find the factors that can cause these problems.</w:t>
      </w:r>
      <w:r w:rsidRPr="00C16047">
        <w:rPr>
          <w:rFonts w:ascii="Arial" w:eastAsia="Times New Roman" w:hAnsi="Arial" w:cs="Arial"/>
          <w:sz w:val="24"/>
          <w:szCs w:val="24"/>
        </w:rPr>
        <w:br/>
        <w:t>Helicobacter pylori infection (gastritis) not only can cause vitamin B12 deficiency (3), but also can cause reactive hypoglycemia (4).</w:t>
      </w:r>
      <w:r w:rsidRPr="00C16047">
        <w:rPr>
          <w:rFonts w:ascii="Arial" w:eastAsia="Times New Roman" w:hAnsi="Arial" w:cs="Arial"/>
          <w:sz w:val="24"/>
          <w:szCs w:val="24"/>
        </w:rPr>
        <w:br/>
        <w:t>Thus, we decided to measure serum Helicobacter pylori antibody (IgG) level in methamphetamine abuser patients.</w:t>
      </w:r>
      <w:r w:rsidRPr="00C16047">
        <w:rPr>
          <w:rFonts w:ascii="Arial" w:eastAsia="Times New Roman" w:hAnsi="Arial" w:cs="Arial"/>
          <w:sz w:val="24"/>
          <w:szCs w:val="24"/>
        </w:rPr>
        <w:br/>
        <w:t>Method</w:t>
      </w:r>
      <w:r w:rsidRPr="00C16047">
        <w:rPr>
          <w:rFonts w:ascii="Arial" w:eastAsia="Times New Roman" w:hAnsi="Arial" w:cs="Arial"/>
          <w:sz w:val="24"/>
          <w:szCs w:val="24"/>
        </w:rPr>
        <w:br/>
        <w:t>We visited all the patients that refer to ( Afarinesh addiction clinic) in Karaj in Iran. We have been requested serum Helicobacter pylori antibody (IgG) level, in the case that accepted our rules. According to lab findings we had 3 groups:</w:t>
      </w:r>
      <w:r w:rsidRPr="00C16047">
        <w:rPr>
          <w:rFonts w:ascii="Arial" w:eastAsia="Times New Roman" w:hAnsi="Arial" w:cs="Arial"/>
          <w:sz w:val="24"/>
          <w:szCs w:val="24"/>
        </w:rPr>
        <w:br/>
        <w:t>1- Serum Helicobacter pylori antibody level was positive for gastritis.</w:t>
      </w:r>
      <w:r w:rsidRPr="00C16047">
        <w:rPr>
          <w:rFonts w:ascii="Arial" w:eastAsia="Times New Roman" w:hAnsi="Arial" w:cs="Arial"/>
          <w:sz w:val="24"/>
          <w:szCs w:val="24"/>
        </w:rPr>
        <w:br/>
        <w:t>2- Serum Helicobacter pylori antibody levels show the patients were at risk of gastritis. (Borderline)</w:t>
      </w:r>
      <w:r w:rsidRPr="00C16047">
        <w:rPr>
          <w:rFonts w:ascii="Arial" w:eastAsia="Times New Roman" w:hAnsi="Arial" w:cs="Arial"/>
          <w:sz w:val="24"/>
          <w:szCs w:val="24"/>
        </w:rPr>
        <w:br/>
        <w:t>3- Serum Helicobacter pylori antibody level was negative for gastritis.</w:t>
      </w:r>
      <w:r w:rsidRPr="00C16047">
        <w:rPr>
          <w:rFonts w:ascii="Arial" w:eastAsia="Times New Roman" w:hAnsi="Arial" w:cs="Arial"/>
          <w:sz w:val="24"/>
          <w:szCs w:val="24"/>
        </w:rPr>
        <w:br/>
        <w:t>Laboratory and office-based serologic assay of antibodies to Helicobacter pylori have sensitivity and specificity of &gt;%85 and are considered the non invasive testes of choice for initial documentation of Helicobacter pylori infection (5).</w:t>
      </w:r>
      <w:r w:rsidRPr="00C16047">
        <w:rPr>
          <w:rFonts w:ascii="Arial" w:eastAsia="Times New Roman" w:hAnsi="Arial" w:cs="Arial"/>
          <w:sz w:val="24"/>
          <w:szCs w:val="24"/>
        </w:rPr>
        <w:br/>
        <w:t>Results:</w:t>
      </w:r>
      <w:r w:rsidRPr="00C16047">
        <w:rPr>
          <w:rFonts w:ascii="Arial" w:eastAsia="Times New Roman" w:hAnsi="Arial" w:cs="Arial"/>
          <w:sz w:val="24"/>
          <w:szCs w:val="24"/>
        </w:rPr>
        <w:br/>
        <w:t>23 of the volunteers were suitable for this study, 21 of volunteers were men and 2 were women. Their aged varied between 26 to 45 years old. The average age was 34.47 years old.</w:t>
      </w:r>
      <w:r w:rsidRPr="00C16047">
        <w:rPr>
          <w:rFonts w:ascii="Arial" w:eastAsia="Times New Roman" w:hAnsi="Arial" w:cs="Arial"/>
          <w:sz w:val="24"/>
          <w:szCs w:val="24"/>
        </w:rPr>
        <w:br/>
        <w:t>in 16 patients out of 23 patients that I inspected in this study, the serum Helicobacter pylori antibody level (IgG) was positive and shown they suffer from gastritis. In 1 patients out of 23 patients that I inspected in this study the serum Helicobacter pylori antibody (IgG) level shown they was at risk of gastritis (borderline) and in 6 patients that shared in this study, serum Helicobacter pylori antibody (IgG) level did not show gastritis.</w:t>
      </w:r>
      <w:r w:rsidRPr="00C16047">
        <w:rPr>
          <w:rFonts w:ascii="Arial" w:eastAsia="Times New Roman" w:hAnsi="Arial" w:cs="Arial"/>
          <w:sz w:val="24"/>
          <w:szCs w:val="24"/>
        </w:rPr>
        <w:br/>
      </w:r>
      <w:r w:rsidRPr="00C16047">
        <w:rPr>
          <w:rFonts w:ascii="Arial" w:eastAsia="Times New Roman" w:hAnsi="Arial" w:cs="Arial"/>
          <w:sz w:val="24"/>
          <w:szCs w:val="24"/>
        </w:rPr>
        <w:lastRenderedPageBreak/>
        <w:t>In the other hand, %69.56 of methamphetamine abuser patients had gastritis. %4.3 of them had the risk for gastritis and %26.08 did not show any reason for gastritis.</w:t>
      </w:r>
      <w:r w:rsidRPr="00C16047">
        <w:rPr>
          <w:rFonts w:ascii="Arial" w:eastAsia="Times New Roman" w:hAnsi="Arial" w:cs="Arial"/>
          <w:sz w:val="24"/>
          <w:szCs w:val="24"/>
        </w:rPr>
        <w:br/>
        <w:t>Conclusion:</w:t>
      </w:r>
      <w:r w:rsidRPr="00C16047">
        <w:rPr>
          <w:rFonts w:ascii="Arial" w:eastAsia="Times New Roman" w:hAnsi="Arial" w:cs="Arial"/>
          <w:sz w:val="24"/>
          <w:szCs w:val="24"/>
        </w:rPr>
        <w:br/>
        <w:t>According to the fact that we faced on high prevalence of Helicobacter pylori infection (gastritis) in methamphetamine abuser patients, a case control study in this field is recommended.</w:t>
      </w:r>
      <w:r w:rsidRPr="00C16047">
        <w:rPr>
          <w:rFonts w:ascii="Arial" w:eastAsia="Times New Roman" w:hAnsi="Arial" w:cs="Arial"/>
          <w:sz w:val="24"/>
          <w:szCs w:val="24"/>
        </w:rPr>
        <w:br/>
        <w:t>---------------------------------------------------------------------------------------------------------------------</w:t>
      </w:r>
      <w:r w:rsidRPr="00C16047">
        <w:rPr>
          <w:rFonts w:ascii="Arial" w:eastAsia="Times New Roman" w:hAnsi="Arial" w:cs="Arial"/>
          <w:sz w:val="24"/>
          <w:szCs w:val="24"/>
        </w:rPr>
        <w:br/>
        <w:t>References:</w:t>
      </w:r>
      <w:r w:rsidRPr="00C16047">
        <w:rPr>
          <w:rFonts w:ascii="Arial" w:eastAsia="Times New Roman" w:hAnsi="Arial" w:cs="Arial"/>
          <w:sz w:val="24"/>
          <w:szCs w:val="24"/>
        </w:rPr>
        <w:br/>
        <w:t>1-Dr Mahsa Houshdar. The prevalence of vitamin B12 de1¹¹ficiecy in patients with methamphetamine abuse.</w:t>
      </w:r>
      <w:r w:rsidRPr="00C16047">
        <w:rPr>
          <w:rFonts w:ascii="Arial" w:eastAsia="Times New Roman" w:hAnsi="Arial" w:cs="Arial"/>
          <w:sz w:val="24"/>
          <w:szCs w:val="24"/>
        </w:rPr>
        <w:br/>
        <w:t>2- Dr Mahsa Houshdar. The prevalence of reactive hypoglycemia in patients with methamphetamine abuse.</w:t>
      </w:r>
      <w:r w:rsidRPr="00C16047">
        <w:rPr>
          <w:rFonts w:ascii="Arial" w:eastAsia="Times New Roman" w:hAnsi="Arial" w:cs="Arial"/>
          <w:sz w:val="24"/>
          <w:szCs w:val="24"/>
        </w:rPr>
        <w:br/>
        <w:t>3-Helicobacter. 2002 Dec;7(6):337-41.</w:t>
      </w:r>
      <w:r w:rsidRPr="00C16047">
        <w:rPr>
          <w:rFonts w:ascii="Arial" w:eastAsia="Times New Roman" w:hAnsi="Arial" w:cs="Arial"/>
          <w:sz w:val="24"/>
          <w:szCs w:val="24"/>
        </w:rPr>
        <w:br/>
        <w:t>Impact of Helicobacter pylori on the development of vitamin B12 deficiency in the absence of gastric atrophy.</w:t>
      </w:r>
      <w:r w:rsidRPr="00C16047">
        <w:rPr>
          <w:rFonts w:ascii="Arial" w:eastAsia="Times New Roman" w:hAnsi="Arial" w:cs="Arial"/>
          <w:sz w:val="24"/>
          <w:szCs w:val="24"/>
        </w:rPr>
        <w:br/>
        <w:t>Serin E, Gümürdülü Y, Ozer B, Kayaselçuk F, Yilmaz U, Koçak R.</w:t>
      </w:r>
      <w:r w:rsidRPr="00C16047">
        <w:rPr>
          <w:rFonts w:ascii="Arial" w:eastAsia="Times New Roman" w:hAnsi="Arial" w:cs="Arial"/>
          <w:sz w:val="24"/>
          <w:szCs w:val="24"/>
        </w:rPr>
        <w:br/>
        <w:t>SourceDepartment of Gastroenterology, Baskent University Faculty of Medicine, Adana Teaching and Medical Research Center, Adana, Turkey.</w:t>
      </w:r>
      <w:r w:rsidRPr="00C16047">
        <w:rPr>
          <w:rFonts w:ascii="Arial" w:eastAsia="Times New Roman" w:hAnsi="Arial" w:cs="Arial"/>
          <w:sz w:val="24"/>
          <w:szCs w:val="24"/>
        </w:rPr>
        <w:br/>
        <w:t>4-^ Açbay O, Celik AF, Kadioğlu P, Göksel S, Gündoğdu S (1999). "Helicobacter pylori-induced gastritis may contribute to occurrence of postprandial symptomatic hypoglycemia". Dig. Dis. Sci. 44 (9): 1837–42. doi:10.1023/A:1018842606388. PMID 10505722.</w:t>
      </w:r>
      <w:r w:rsidRPr="00C16047">
        <w:rPr>
          <w:rFonts w:ascii="Arial" w:eastAsia="Times New Roman" w:hAnsi="Arial" w:cs="Arial"/>
          <w:sz w:val="24"/>
          <w:szCs w:val="24"/>
        </w:rPr>
        <w:br/>
        <w:t>5- Merck Manual, 17th edition, page 116</w:t>
      </w:r>
      <w:r w:rsidRPr="00C16047">
        <w:rPr>
          <w:rFonts w:ascii="Arial" w:eastAsia="Times New Roman" w:hAnsi="Arial" w:cs="Arial"/>
          <w:color w:val="000000"/>
          <w:sz w:val="18"/>
        </w:rPr>
        <w:t> </w:t>
      </w:r>
      <w:r w:rsidRPr="00C16047">
        <w:rPr>
          <w:rFonts w:ascii="Arial" w:eastAsia="Times New Roman" w:hAnsi="Arial" w:cs="Arial"/>
          <w:sz w:val="24"/>
          <w:szCs w:val="24"/>
        </w:rPr>
        <w:br/>
      </w:r>
    </w:p>
    <w:sectPr w:rsidR="008267E9" w:rsidSect="00C172D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C16047"/>
    <w:rsid w:val="008267E9"/>
    <w:rsid w:val="00C16047"/>
    <w:rsid w:val="00C172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7E9"/>
    <w:pPr>
      <w:bidi/>
    </w:pPr>
  </w:style>
  <w:style w:type="paragraph" w:styleId="Heading1">
    <w:name w:val="heading 1"/>
    <w:basedOn w:val="Normal"/>
    <w:link w:val="Heading1Char"/>
    <w:uiPriority w:val="9"/>
    <w:qFormat/>
    <w:rsid w:val="00C16047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ldable-text">
    <w:name w:val="foldable-text"/>
    <w:basedOn w:val="DefaultParagraphFont"/>
    <w:rsid w:val="00C16047"/>
  </w:style>
  <w:style w:type="character" w:customStyle="1" w:styleId="text-with-line-breaks">
    <w:name w:val="text-with-line-breaks"/>
    <w:basedOn w:val="DefaultParagraphFont"/>
    <w:rsid w:val="00C16047"/>
  </w:style>
  <w:style w:type="character" w:customStyle="1" w:styleId="Heading1Char">
    <w:name w:val="Heading 1 Char"/>
    <w:basedOn w:val="DefaultParagraphFont"/>
    <w:link w:val="Heading1"/>
    <w:uiPriority w:val="9"/>
    <w:rsid w:val="00C16047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9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007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3108</Characters>
  <Application>Microsoft Office Word</Application>
  <DocSecurity>0</DocSecurity>
  <Lines>25</Lines>
  <Paragraphs>7</Paragraphs>
  <ScaleCrop>false</ScaleCrop>
  <Company>Win2Farsi</Company>
  <LinksUpToDate>false</LinksUpToDate>
  <CharactersWithSpaces>3646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Moorche</dc:creator>
  <cp:keywords/>
  <dc:description/>
  <cp:lastModifiedBy>Moorche</cp:lastModifiedBy>
  <cp:revision>1</cp:revision>
  <dcterms:created xsi:type="dcterms:W3CDTF">2016-07-21T19:48:00Z</dcterms:created>
  <dcterms:modified xsi:type="dcterms:W3CDTF">2016-07-21T19:49:00Z</dcterms:modified>
</cp:coreProperties>
</file>