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CF6" w:rsidRPr="00D95CF6" w:rsidRDefault="00D95CF6" w:rsidP="00D95CF6">
      <w:pPr>
        <w:autoSpaceDE w:val="0"/>
        <w:autoSpaceDN w:val="0"/>
        <w:adjustRightInd w:val="0"/>
        <w:spacing w:after="0" w:line="240" w:lineRule="auto"/>
        <w:jc w:val="center"/>
        <w:rPr>
          <w:rFonts w:ascii="MS Shell Dlg 2" w:eastAsia="Calibri" w:hAnsi="MS Shell Dlg 2" w:cs="MS Shell Dlg 2"/>
          <w:sz w:val="18"/>
          <w:szCs w:val="18"/>
        </w:rPr>
      </w:pPr>
      <w:r w:rsidRPr="00D95CF6">
        <w:rPr>
          <w:rFonts w:asciiTheme="majorBidi" w:hAnsiTheme="majorBidi" w:cstheme="majorBidi"/>
          <w:b/>
          <w:bCs/>
          <w:color w:val="424242"/>
          <w:sz w:val="24"/>
          <w:szCs w:val="24"/>
        </w:rPr>
        <w:t>Toxicomanie et alexithymie :</w:t>
      </w:r>
      <w:r w:rsidR="00CF1D3A">
        <w:rPr>
          <w:rFonts w:asciiTheme="majorBidi" w:hAnsiTheme="majorBidi" w:cstheme="majorBidi"/>
          <w:b/>
          <w:bCs/>
          <w:color w:val="424242"/>
          <w:sz w:val="24"/>
          <w:szCs w:val="24"/>
        </w:rPr>
        <w:t xml:space="preserve"> F</w:t>
      </w:r>
      <w:r w:rsidRPr="00D95CF6">
        <w:rPr>
          <w:rFonts w:asciiTheme="majorBidi" w:hAnsiTheme="majorBidi" w:cstheme="majorBidi"/>
          <w:b/>
          <w:bCs/>
          <w:color w:val="424242"/>
          <w:sz w:val="24"/>
          <w:szCs w:val="24"/>
        </w:rPr>
        <w:t>onctionnement émotionnelle</w:t>
      </w:r>
    </w:p>
    <w:p w:rsidR="0018179D" w:rsidRPr="00FD06FE" w:rsidRDefault="0018179D" w:rsidP="00D95CF6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237BED" w:rsidRPr="00FD06FE" w:rsidRDefault="003056CB" w:rsidP="00221DB1">
      <w:pPr>
        <w:spacing w:line="360" w:lineRule="auto"/>
        <w:jc w:val="center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>
        <w:rPr>
          <w:rFonts w:asciiTheme="minorBidi" w:hAnsiTheme="minorBidi"/>
          <w:b/>
          <w:bCs/>
        </w:rPr>
        <w:t>Mohamed HAJAOUI</w:t>
      </w:r>
    </w:p>
    <w:p w:rsidR="00D95CF6" w:rsidRPr="00D95CF6" w:rsidRDefault="00D95CF6" w:rsidP="00D95CF6">
      <w:pPr>
        <w:shd w:val="clear" w:color="auto" w:fill="FFFFFF"/>
        <w:spacing w:before="30" w:after="30" w:line="360" w:lineRule="auto"/>
        <w:ind w:left="30" w:right="30"/>
        <w:jc w:val="both"/>
        <w:rPr>
          <w:rFonts w:asciiTheme="majorBidi" w:hAnsiTheme="majorBidi" w:cstheme="majorBidi"/>
          <w:sz w:val="24"/>
          <w:szCs w:val="24"/>
        </w:rPr>
      </w:pPr>
      <w:r w:rsidRPr="00D95CF6">
        <w:rPr>
          <w:rFonts w:asciiTheme="majorBidi" w:hAnsiTheme="majorBidi" w:cstheme="majorBidi"/>
          <w:sz w:val="24"/>
          <w:szCs w:val="24"/>
        </w:rPr>
        <w:t xml:space="preserve">L’alexithymie est un trait de personnalité relié à une difficulté à exprimer et à décrire les émotions Il a été décrit comme un facteur de vulnérabilité générale pour les maladies psychosomatiques et les troubles mentaux, trouble de l’alimentation, l’addiction, </w:t>
      </w:r>
      <w:proofErr w:type="spellStart"/>
      <w:r w:rsidRPr="00D95CF6">
        <w:rPr>
          <w:rFonts w:asciiTheme="majorBidi" w:hAnsiTheme="majorBidi" w:cstheme="majorBidi"/>
          <w:sz w:val="24"/>
          <w:szCs w:val="24"/>
        </w:rPr>
        <w:t>etc</w:t>
      </w:r>
      <w:proofErr w:type="spellEnd"/>
      <w:r w:rsidRPr="00D95CF6">
        <w:rPr>
          <w:rFonts w:asciiTheme="majorBidi" w:hAnsiTheme="majorBidi" w:cstheme="majorBidi"/>
          <w:sz w:val="24"/>
          <w:szCs w:val="24"/>
        </w:rPr>
        <w:t xml:space="preserve"> </w:t>
      </w:r>
    </w:p>
    <w:p w:rsidR="00D95CF6" w:rsidRPr="00D95CF6" w:rsidRDefault="00D95CF6" w:rsidP="00D95CF6">
      <w:pPr>
        <w:shd w:val="clear" w:color="auto" w:fill="FFFFFF"/>
        <w:spacing w:before="30" w:after="30" w:line="360" w:lineRule="auto"/>
        <w:ind w:left="30" w:right="30"/>
        <w:jc w:val="both"/>
        <w:rPr>
          <w:rFonts w:asciiTheme="majorBidi" w:hAnsiTheme="majorBidi" w:cstheme="majorBidi"/>
          <w:sz w:val="24"/>
          <w:szCs w:val="24"/>
        </w:rPr>
      </w:pPr>
    </w:p>
    <w:p w:rsidR="00D95CF6" w:rsidRPr="00D95CF6" w:rsidRDefault="00D95CF6" w:rsidP="00D95CF6">
      <w:pPr>
        <w:shd w:val="clear" w:color="auto" w:fill="FFFFFF"/>
        <w:spacing w:before="30" w:after="30" w:line="360" w:lineRule="auto"/>
        <w:ind w:left="30" w:right="30"/>
        <w:jc w:val="both"/>
        <w:rPr>
          <w:rFonts w:asciiTheme="majorBidi" w:hAnsiTheme="majorBidi" w:cstheme="majorBidi"/>
          <w:sz w:val="24"/>
          <w:szCs w:val="24"/>
        </w:rPr>
      </w:pPr>
      <w:r w:rsidRPr="00D95CF6">
        <w:rPr>
          <w:rFonts w:asciiTheme="majorBidi" w:hAnsiTheme="majorBidi" w:cstheme="majorBidi"/>
          <w:sz w:val="24"/>
          <w:szCs w:val="24"/>
        </w:rPr>
        <w:t>Notre étude est une première étape vers la compréhension de la relation entre l'alexithymie chez les toxicomanes</w:t>
      </w:r>
      <w:r>
        <w:rPr>
          <w:rFonts w:asciiTheme="majorBidi" w:hAnsiTheme="majorBidi" w:cstheme="majorBidi"/>
          <w:sz w:val="24"/>
          <w:szCs w:val="24"/>
        </w:rPr>
        <w:t xml:space="preserve"> au Maroc</w:t>
      </w:r>
      <w:r w:rsidRPr="00D95CF6">
        <w:rPr>
          <w:rFonts w:asciiTheme="majorBidi" w:hAnsiTheme="majorBidi" w:cstheme="majorBidi"/>
          <w:sz w:val="24"/>
          <w:szCs w:val="24"/>
        </w:rPr>
        <w:t xml:space="preserve">, notre objectif est de repérer les critères de fonctionnement alexithymique au Rorschach qui permettraient de déterminer les signes cliniques spécifiques au Rorschach chez  les toxicomanes ayant un profil alexithymique.  </w:t>
      </w:r>
    </w:p>
    <w:p w:rsidR="00D95CF6" w:rsidRPr="00D95CF6" w:rsidRDefault="00D95CF6" w:rsidP="00D95CF6">
      <w:pPr>
        <w:shd w:val="clear" w:color="auto" w:fill="FFFFFF"/>
        <w:spacing w:before="30" w:after="30" w:line="360" w:lineRule="auto"/>
        <w:ind w:left="30" w:right="30"/>
        <w:jc w:val="both"/>
        <w:rPr>
          <w:rFonts w:asciiTheme="majorBidi" w:hAnsiTheme="majorBidi" w:cstheme="majorBidi"/>
          <w:sz w:val="24"/>
          <w:szCs w:val="24"/>
        </w:rPr>
      </w:pPr>
    </w:p>
    <w:p w:rsidR="00D95CF6" w:rsidRPr="00D95CF6" w:rsidRDefault="00D95CF6" w:rsidP="00D95CF6">
      <w:pPr>
        <w:shd w:val="clear" w:color="auto" w:fill="FFFFFF"/>
        <w:spacing w:before="30" w:after="30" w:line="360" w:lineRule="auto"/>
        <w:ind w:left="30" w:right="3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95CF6">
        <w:rPr>
          <w:rFonts w:asciiTheme="majorBidi" w:hAnsiTheme="majorBidi" w:cstheme="majorBidi"/>
          <w:b/>
          <w:bCs/>
          <w:sz w:val="24"/>
          <w:szCs w:val="24"/>
        </w:rPr>
        <w:t xml:space="preserve">Méthode et outils  </w:t>
      </w:r>
    </w:p>
    <w:p w:rsidR="00D95CF6" w:rsidRPr="00D95CF6" w:rsidRDefault="00D95CF6" w:rsidP="00D95CF6">
      <w:pPr>
        <w:shd w:val="clear" w:color="auto" w:fill="FFFFFF"/>
        <w:spacing w:before="30" w:after="30" w:line="360" w:lineRule="auto"/>
        <w:ind w:left="30" w:right="30"/>
        <w:jc w:val="both"/>
        <w:rPr>
          <w:rFonts w:asciiTheme="majorBidi" w:hAnsiTheme="majorBidi" w:cstheme="majorBidi"/>
          <w:sz w:val="24"/>
          <w:szCs w:val="24"/>
        </w:rPr>
      </w:pPr>
      <w:r w:rsidRPr="00D95CF6">
        <w:rPr>
          <w:rFonts w:asciiTheme="majorBidi" w:hAnsiTheme="majorBidi" w:cstheme="majorBidi"/>
          <w:sz w:val="24"/>
          <w:szCs w:val="24"/>
        </w:rPr>
        <w:t xml:space="preserve">88 toxicomanes répondant aux critères DSM IV de dépendance aux substances </w:t>
      </w:r>
      <w:proofErr w:type="spellStart"/>
      <w:r w:rsidRPr="00D95CF6">
        <w:rPr>
          <w:rFonts w:asciiTheme="majorBidi" w:hAnsiTheme="majorBidi" w:cstheme="majorBidi"/>
          <w:sz w:val="24"/>
          <w:szCs w:val="24"/>
        </w:rPr>
        <w:t>psychoactives</w:t>
      </w:r>
      <w:proofErr w:type="spellEnd"/>
    </w:p>
    <w:p w:rsidR="00D95CF6" w:rsidRPr="00F10FCA" w:rsidRDefault="00D95CF6" w:rsidP="00D95CF6">
      <w:pPr>
        <w:shd w:val="clear" w:color="auto" w:fill="FFFFFF"/>
        <w:spacing w:before="30" w:after="30" w:line="360" w:lineRule="auto"/>
        <w:ind w:left="30" w:right="3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D95CF6">
        <w:rPr>
          <w:rFonts w:asciiTheme="majorBidi" w:hAnsiTheme="majorBidi" w:cstheme="majorBidi"/>
          <w:sz w:val="24"/>
          <w:szCs w:val="24"/>
        </w:rPr>
        <w:t xml:space="preserve">On a utilisé un questionnaire pour la collecte des informations relatives aux caractéristiques </w:t>
      </w:r>
      <w:proofErr w:type="spellStart"/>
      <w:r w:rsidRPr="00D95CF6">
        <w:rPr>
          <w:rFonts w:asciiTheme="majorBidi" w:hAnsiTheme="majorBidi" w:cstheme="majorBidi"/>
          <w:sz w:val="24"/>
          <w:szCs w:val="24"/>
        </w:rPr>
        <w:t>socio-démographiques</w:t>
      </w:r>
      <w:proofErr w:type="spellEnd"/>
      <w:r w:rsidRPr="00D95CF6">
        <w:rPr>
          <w:rFonts w:asciiTheme="majorBidi" w:hAnsiTheme="majorBidi" w:cstheme="majorBidi"/>
          <w:sz w:val="24"/>
          <w:szCs w:val="24"/>
        </w:rPr>
        <w:t xml:space="preserve"> des toxicomanes et le Test Rorschach qui nous a permis de déterminer les composantes fantasmatique, affective, relationnelle et cognitive de l’alexithymie chez la population étudiée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F10FC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p w:rsidR="00D95CF6" w:rsidRPr="00F10FCA" w:rsidRDefault="00D95CF6" w:rsidP="00D95CF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ED25EE" w:rsidRDefault="00ED25EE" w:rsidP="00221DB1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ED25EE" w:rsidSect="00FF7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921E2"/>
    <w:rsid w:val="0000485F"/>
    <w:rsid w:val="00070F7E"/>
    <w:rsid w:val="000A5417"/>
    <w:rsid w:val="000E51C9"/>
    <w:rsid w:val="00175A56"/>
    <w:rsid w:val="0018179D"/>
    <w:rsid w:val="001866A1"/>
    <w:rsid w:val="001C1560"/>
    <w:rsid w:val="001F18BD"/>
    <w:rsid w:val="001F7BD4"/>
    <w:rsid w:val="00203964"/>
    <w:rsid w:val="002079AE"/>
    <w:rsid w:val="00221DB1"/>
    <w:rsid w:val="0023775F"/>
    <w:rsid w:val="00237BED"/>
    <w:rsid w:val="002E1202"/>
    <w:rsid w:val="00301EC0"/>
    <w:rsid w:val="003056CB"/>
    <w:rsid w:val="00307302"/>
    <w:rsid w:val="0032387C"/>
    <w:rsid w:val="00384231"/>
    <w:rsid w:val="003B2B96"/>
    <w:rsid w:val="00440CEE"/>
    <w:rsid w:val="00453EEC"/>
    <w:rsid w:val="00552BBA"/>
    <w:rsid w:val="00603259"/>
    <w:rsid w:val="007142B2"/>
    <w:rsid w:val="00732510"/>
    <w:rsid w:val="00736F15"/>
    <w:rsid w:val="007805C1"/>
    <w:rsid w:val="00812838"/>
    <w:rsid w:val="008156D6"/>
    <w:rsid w:val="0087301D"/>
    <w:rsid w:val="008D0FEE"/>
    <w:rsid w:val="009043F1"/>
    <w:rsid w:val="00975555"/>
    <w:rsid w:val="009921E2"/>
    <w:rsid w:val="009C17FC"/>
    <w:rsid w:val="00A0339B"/>
    <w:rsid w:val="00A7498E"/>
    <w:rsid w:val="00AC29E0"/>
    <w:rsid w:val="00AF2091"/>
    <w:rsid w:val="00B178A5"/>
    <w:rsid w:val="00BB25BA"/>
    <w:rsid w:val="00BD0997"/>
    <w:rsid w:val="00C70E2B"/>
    <w:rsid w:val="00C80220"/>
    <w:rsid w:val="00C84A70"/>
    <w:rsid w:val="00CF1D3A"/>
    <w:rsid w:val="00D8504A"/>
    <w:rsid w:val="00D95CF6"/>
    <w:rsid w:val="00DA4BEA"/>
    <w:rsid w:val="00DD3305"/>
    <w:rsid w:val="00DD6CFE"/>
    <w:rsid w:val="00E4016C"/>
    <w:rsid w:val="00EA0B64"/>
    <w:rsid w:val="00ED2060"/>
    <w:rsid w:val="00ED25EE"/>
    <w:rsid w:val="00ED7B33"/>
    <w:rsid w:val="00EE12A2"/>
    <w:rsid w:val="00F21401"/>
    <w:rsid w:val="00FC7595"/>
    <w:rsid w:val="00FD06FE"/>
    <w:rsid w:val="00FF355C"/>
    <w:rsid w:val="00FF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09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21D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1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Fatima</cp:lastModifiedBy>
  <cp:revision>2</cp:revision>
  <dcterms:created xsi:type="dcterms:W3CDTF">2018-10-28T14:53:00Z</dcterms:created>
  <dcterms:modified xsi:type="dcterms:W3CDTF">2018-10-28T14:53:00Z</dcterms:modified>
</cp:coreProperties>
</file>