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rsidR="00502505" w:rsidRPr="001214A9" w:rsidRDefault="00502505" w:rsidP="00502505">
      <w:pPr>
        <w:jc w:val="both"/>
        <w:rPr>
          <w:rFonts w:asciiTheme="majorHAnsi" w:hAnsiTheme="majorHAnsi"/>
          <w:b/>
          <w:color w:val="000000"/>
          <w:sz w:val="24"/>
          <w:szCs w:val="28"/>
          <w:lang w:eastAsia="ko-KR"/>
        </w:rPr>
      </w:pPr>
      <w:r w:rsidRPr="00502505">
        <w:rPr>
          <w:rFonts w:asciiTheme="majorHAnsi" w:eastAsia="MS PGothic" w:hAnsiTheme="majorHAnsi"/>
          <w:b/>
          <w:color w:val="000000"/>
          <w:sz w:val="24"/>
          <w:szCs w:val="28"/>
        </w:rPr>
        <w:t xml:space="preserve">Title: </w:t>
      </w:r>
      <w:r w:rsidR="001214A9" w:rsidRPr="001214A9">
        <w:rPr>
          <w:rFonts w:asciiTheme="majorHAnsi" w:hAnsiTheme="majorHAnsi"/>
          <w:b/>
          <w:color w:val="000000"/>
          <w:sz w:val="24"/>
          <w:szCs w:val="28"/>
          <w:lang w:eastAsia="ko-KR"/>
        </w:rPr>
        <w:t>Factors affecting dose of methadone among patients receiving methadone maintenance therapy: a retrospective study in Taiwan</w:t>
      </w:r>
    </w:p>
    <w:p w:rsidR="00502505" w:rsidRDefault="001214A9" w:rsidP="00502505">
      <w:pPr>
        <w:spacing w:after="0"/>
        <w:jc w:val="both"/>
        <w:rPr>
          <w:rFonts w:asciiTheme="majorHAnsi" w:hAnsiTheme="majorHAnsi"/>
          <w:b/>
          <w:color w:val="000000"/>
          <w:sz w:val="24"/>
          <w:szCs w:val="28"/>
          <w:lang w:eastAsia="ko-KR"/>
        </w:rPr>
      </w:pPr>
      <w:r>
        <w:rPr>
          <w:rFonts w:ascii="Times New Roman" w:eastAsia="TimesNewRoman" w:hAnsi="Times New Roman"/>
          <w:szCs w:val="24"/>
        </w:rPr>
        <w:t>Dian-</w:t>
      </w:r>
      <w:proofErr w:type="spellStart"/>
      <w:r>
        <w:rPr>
          <w:rFonts w:ascii="Times New Roman" w:eastAsia="TimesNewRoman" w:hAnsi="Times New Roman"/>
          <w:szCs w:val="24"/>
        </w:rPr>
        <w:t>Jeng</w:t>
      </w:r>
      <w:proofErr w:type="spellEnd"/>
      <w:r>
        <w:rPr>
          <w:rFonts w:ascii="Times New Roman" w:eastAsia="TimesNewRoman" w:hAnsi="Times New Roman"/>
          <w:szCs w:val="24"/>
        </w:rPr>
        <w:t xml:space="preserve"> Li</w:t>
      </w:r>
      <w:r w:rsidRPr="001E44F6">
        <w:rPr>
          <w:rFonts w:ascii="Times New Roman" w:eastAsia="TimesNewRoman" w:hAnsi="Times New Roman"/>
          <w:szCs w:val="24"/>
        </w:rPr>
        <w:t>, M.D.</w:t>
      </w:r>
      <w:r w:rsidR="00502505" w:rsidRPr="002C0AB4">
        <w:rPr>
          <w:rFonts w:asciiTheme="majorHAnsi" w:hAnsiTheme="majorHAnsi"/>
        </w:rPr>
        <w:t xml:space="preserve">, </w:t>
      </w:r>
      <w:r>
        <w:rPr>
          <w:rFonts w:ascii="Times New Roman" w:eastAsia="TimesNewRoman" w:hAnsi="Times New Roman"/>
          <w:szCs w:val="24"/>
        </w:rPr>
        <w:t>K</w:t>
      </w:r>
      <w:r w:rsidRPr="0045240B">
        <w:rPr>
          <w:rFonts w:ascii="Times New Roman" w:eastAsia="TimesNewRoman" w:hAnsi="Times New Roman"/>
          <w:szCs w:val="24"/>
        </w:rPr>
        <w:t>aohsiung Municipal Kai-Syuan Psychiatric Hospital, Kaohsiung,</w:t>
      </w:r>
      <w:r w:rsidRPr="0045240B">
        <w:rPr>
          <w:rFonts w:ascii="Times New Roman" w:hAnsi="Times New Roman"/>
          <w:szCs w:val="24"/>
        </w:rPr>
        <w:t xml:space="preserve"> </w:t>
      </w:r>
      <w:r w:rsidRPr="0045240B">
        <w:rPr>
          <w:rFonts w:ascii="Times New Roman" w:eastAsia="TimesNewRoman" w:hAnsi="Times New Roman"/>
          <w:szCs w:val="24"/>
        </w:rPr>
        <w:t>Taiwan</w:t>
      </w:r>
    </w:p>
    <w:p w:rsidR="00502505" w:rsidRPr="00502505" w:rsidRDefault="001214A9" w:rsidP="00502505">
      <w:pPr>
        <w:spacing w:after="0"/>
        <w:jc w:val="both"/>
        <w:rPr>
          <w:rFonts w:asciiTheme="majorHAnsi" w:hAnsiTheme="majorHAnsi"/>
          <w:b/>
          <w:color w:val="000000"/>
          <w:sz w:val="24"/>
          <w:szCs w:val="28"/>
          <w:lang w:eastAsia="ko-KR"/>
        </w:rPr>
      </w:pPr>
      <w:r w:rsidRPr="005A5DEB">
        <w:rPr>
          <w:rFonts w:ascii="Times New Roman" w:eastAsia="TimesNewRoman" w:hAnsi="Times New Roman"/>
          <w:szCs w:val="24"/>
        </w:rPr>
        <w:t>Hung-Chi Wu</w:t>
      </w:r>
      <w:r>
        <w:rPr>
          <w:rFonts w:ascii="Times New Roman" w:eastAsia="TimesNewRoman" w:hAnsi="Times New Roman"/>
          <w:szCs w:val="24"/>
        </w:rPr>
        <w:t>,</w:t>
      </w:r>
      <w:r w:rsidRPr="005A5DEB">
        <w:rPr>
          <w:rFonts w:ascii="Times New Roman" w:eastAsia="TimesNewRoman" w:hAnsi="Times New Roman"/>
          <w:szCs w:val="24"/>
        </w:rPr>
        <w:t xml:space="preserve"> </w:t>
      </w:r>
      <w:r w:rsidRPr="001E44F6">
        <w:rPr>
          <w:rFonts w:ascii="Times New Roman" w:eastAsia="TimesNewRoman" w:hAnsi="Times New Roman"/>
          <w:szCs w:val="24"/>
        </w:rPr>
        <w:t xml:space="preserve">M.D., </w:t>
      </w:r>
      <w:r>
        <w:rPr>
          <w:rFonts w:ascii="Times New Roman" w:eastAsia="TimesNewRoman" w:hAnsi="Times New Roman"/>
          <w:szCs w:val="24"/>
        </w:rPr>
        <w:t>M</w:t>
      </w:r>
      <w:r w:rsidRPr="001E44F6">
        <w:rPr>
          <w:rFonts w:ascii="Times New Roman" w:eastAsia="TimesNewRoman" w:hAnsi="Times New Roman"/>
          <w:szCs w:val="24"/>
        </w:rPr>
        <w:t>.</w:t>
      </w:r>
      <w:r>
        <w:rPr>
          <w:rFonts w:ascii="Times New Roman" w:eastAsia="TimesNewRoman" w:hAnsi="Times New Roman"/>
          <w:szCs w:val="24"/>
        </w:rPr>
        <w:t>S</w:t>
      </w:r>
      <w:r w:rsidRPr="001E44F6">
        <w:rPr>
          <w:rFonts w:ascii="Times New Roman" w:eastAsia="TimesNewRoman" w:hAnsi="Times New Roman"/>
          <w:szCs w:val="24"/>
        </w:rPr>
        <w:t>.</w:t>
      </w:r>
      <w:r w:rsidR="00502505" w:rsidRPr="002C0AB4">
        <w:rPr>
          <w:rFonts w:asciiTheme="majorHAnsi" w:hAnsiTheme="majorHAnsi"/>
        </w:rPr>
        <w:t>,</w:t>
      </w:r>
      <w:r>
        <w:rPr>
          <w:rFonts w:asciiTheme="majorHAnsi" w:hAnsiTheme="majorHAnsi"/>
        </w:rPr>
        <w:t xml:space="preserve"> </w:t>
      </w:r>
      <w:r>
        <w:rPr>
          <w:rFonts w:ascii="Times New Roman" w:eastAsia="TimesNewRoman" w:hAnsi="Times New Roman"/>
          <w:szCs w:val="24"/>
        </w:rPr>
        <w:t>K</w:t>
      </w:r>
      <w:r w:rsidRPr="0045240B">
        <w:rPr>
          <w:rFonts w:ascii="Times New Roman" w:eastAsia="TimesNewRoman" w:hAnsi="Times New Roman"/>
          <w:szCs w:val="24"/>
        </w:rPr>
        <w:t>aohsiung Municipal Kai-Syuan Psychiatric Hospital, Kaohsiung,</w:t>
      </w:r>
      <w:r w:rsidRPr="0045240B">
        <w:rPr>
          <w:rFonts w:ascii="Times New Roman" w:hAnsi="Times New Roman"/>
          <w:szCs w:val="24"/>
        </w:rPr>
        <w:t xml:space="preserve"> </w:t>
      </w:r>
      <w:r w:rsidRPr="0045240B">
        <w:rPr>
          <w:rFonts w:ascii="Times New Roman" w:eastAsia="TimesNewRoman" w:hAnsi="Times New Roman"/>
          <w:szCs w:val="24"/>
        </w:rPr>
        <w:t>Taiwan</w:t>
      </w:r>
    </w:p>
    <w:p w:rsidR="00502505" w:rsidRPr="001072E4" w:rsidRDefault="001072E4" w:rsidP="001072E4">
      <w:pPr>
        <w:shd w:val="clear" w:color="auto" w:fill="FFFFFF"/>
        <w:spacing w:line="360" w:lineRule="auto"/>
        <w:contextualSpacing/>
        <w:rPr>
          <w:rFonts w:ascii="Times New Roman" w:hAnsi="Times New Roman"/>
          <w:szCs w:val="24"/>
        </w:rPr>
      </w:pPr>
      <w:r w:rsidRPr="006B1348">
        <w:rPr>
          <w:rFonts w:ascii="Times New Roman" w:eastAsia="TimesNewRoman" w:hAnsi="Times New Roman"/>
          <w:szCs w:val="24"/>
        </w:rPr>
        <w:t>Cheng-Fang Yen, M.D., Ph.D</w:t>
      </w:r>
      <w:r>
        <w:rPr>
          <w:rFonts w:ascii="Times New Roman" w:eastAsia="TimesNewRoman" w:hAnsi="Times New Roman"/>
          <w:szCs w:val="24"/>
        </w:rPr>
        <w:t xml:space="preserve">. </w:t>
      </w:r>
      <w:r w:rsidRPr="006B1348">
        <w:rPr>
          <w:rFonts w:ascii="Times New Roman" w:eastAsia="TimesNewRoman" w:hAnsi="Times New Roman"/>
          <w:szCs w:val="24"/>
        </w:rPr>
        <w:t>Kaohsiung</w:t>
      </w:r>
      <w:r w:rsidRPr="006B1348">
        <w:rPr>
          <w:rFonts w:ascii="Times New Roman" w:hAnsi="Times New Roman"/>
          <w:szCs w:val="24"/>
        </w:rPr>
        <w:t xml:space="preserve"> </w:t>
      </w:r>
      <w:r w:rsidRPr="006B1348">
        <w:rPr>
          <w:rFonts w:ascii="Times New Roman" w:eastAsia="TimesNewRoman" w:hAnsi="Times New Roman"/>
          <w:szCs w:val="24"/>
        </w:rPr>
        <w:t>Medical University Hospital, Kaohsiung, Taiwan</w:t>
      </w:r>
      <w:bookmarkStart w:id="0" w:name="_GoBack"/>
      <w:bookmarkEnd w:id="0"/>
    </w:p>
    <w:p w:rsidR="00502505" w:rsidRPr="00360B4E" w:rsidRDefault="00502505" w:rsidP="00502505">
      <w:pPr>
        <w:jc w:val="both"/>
        <w:rPr>
          <w:rFonts w:asciiTheme="majorHAnsi" w:hAnsiTheme="majorHAnsi"/>
          <w:b/>
          <w:color w:val="7030A0"/>
        </w:rPr>
      </w:pPr>
      <w:r w:rsidRPr="00360B4E">
        <w:rPr>
          <w:rFonts w:asciiTheme="majorHAnsi" w:hAnsiTheme="majorHAnsi"/>
          <w:b/>
          <w:color w:val="7030A0"/>
        </w:rPr>
        <w:t>Abstract (</w:t>
      </w:r>
      <w:proofErr w:type="gramStart"/>
      <w:r w:rsidRPr="00360B4E">
        <w:rPr>
          <w:rFonts w:asciiTheme="majorHAnsi" w:hAnsiTheme="majorHAnsi"/>
          <w:b/>
          <w:color w:val="7030A0"/>
        </w:rPr>
        <w:t>300 word</w:t>
      </w:r>
      <w:proofErr w:type="gramEnd"/>
      <w:r w:rsidRPr="00360B4E">
        <w:rPr>
          <w:rFonts w:asciiTheme="majorHAnsi" w:hAnsiTheme="majorHAnsi"/>
          <w:b/>
          <w:color w:val="7030A0"/>
        </w:rPr>
        <w:t xml:space="preserve"> limits)</w:t>
      </w:r>
    </w:p>
    <w:p w:rsidR="001214A9" w:rsidRPr="00146ACD" w:rsidRDefault="001214A9" w:rsidP="001214A9">
      <w:pPr>
        <w:spacing w:line="480" w:lineRule="auto"/>
        <w:rPr>
          <w:rFonts w:ascii="Times New Roman" w:hAnsi="Times New Roman"/>
        </w:rPr>
      </w:pPr>
      <w:r w:rsidRPr="00146ACD">
        <w:rPr>
          <w:rFonts w:ascii="Times New Roman" w:hAnsi="Times New Roman"/>
          <w:b/>
          <w:szCs w:val="24"/>
          <w:shd w:val="clear" w:color="auto" w:fill="FFFFFF"/>
        </w:rPr>
        <w:t xml:space="preserve">Background: </w:t>
      </w:r>
      <w:r w:rsidRPr="00146ACD">
        <w:rPr>
          <w:rFonts w:ascii="Times New Roman" w:hAnsi="Times New Roman"/>
        </w:rPr>
        <w:t>Methadone has</w:t>
      </w:r>
      <w:r w:rsidRPr="00146ACD">
        <w:rPr>
          <w:rFonts w:ascii="Times New Roman" w:hAnsi="Times New Roman" w:hint="eastAsia"/>
        </w:rPr>
        <w:t xml:space="preserve"> been </w:t>
      </w:r>
      <w:r w:rsidRPr="00146ACD">
        <w:rPr>
          <w:rFonts w:ascii="Times New Roman" w:hAnsi="Times New Roman"/>
        </w:rPr>
        <w:t xml:space="preserve">approved to be an effectively therapeutic strategy for opioid users. However, few studies had investigated </w:t>
      </w:r>
      <w:r>
        <w:rPr>
          <w:rFonts w:ascii="Times New Roman" w:hAnsi="Times New Roman"/>
        </w:rPr>
        <w:t xml:space="preserve">association between </w:t>
      </w:r>
      <w:r w:rsidRPr="00146ACD">
        <w:rPr>
          <w:rFonts w:ascii="Times New Roman" w:hAnsi="Times New Roman"/>
        </w:rPr>
        <w:t>dose of methadone</w:t>
      </w:r>
      <w:r>
        <w:rPr>
          <w:rFonts w:ascii="Times New Roman" w:hAnsi="Times New Roman"/>
        </w:rPr>
        <w:t xml:space="preserve"> maintenance treatment (MMT) and related factors.</w:t>
      </w:r>
      <w:r w:rsidRPr="00146ACD">
        <w:rPr>
          <w:rFonts w:ascii="Times New Roman" w:hAnsi="Times New Roman"/>
        </w:rPr>
        <w:t xml:space="preserve"> </w:t>
      </w:r>
      <w:r>
        <w:rPr>
          <w:rFonts w:ascii="Times New Roman" w:hAnsi="Times New Roman"/>
        </w:rPr>
        <w:t>O</w:t>
      </w:r>
      <w:r w:rsidRPr="00146ACD">
        <w:rPr>
          <w:rFonts w:ascii="Times New Roman" w:hAnsi="Times New Roman"/>
        </w:rPr>
        <w:t xml:space="preserve">ur study aimed to investigate </w:t>
      </w:r>
      <w:r>
        <w:rPr>
          <w:rFonts w:ascii="Times New Roman" w:hAnsi="Times New Roman"/>
        </w:rPr>
        <w:t>potential</w:t>
      </w:r>
      <w:r w:rsidRPr="00146ACD">
        <w:rPr>
          <w:rFonts w:ascii="Times New Roman" w:hAnsi="Times New Roman"/>
        </w:rPr>
        <w:t xml:space="preserve"> factors</w:t>
      </w:r>
      <w:r>
        <w:rPr>
          <w:rFonts w:ascii="Times New Roman" w:hAnsi="Times New Roman"/>
        </w:rPr>
        <w:t xml:space="preserve"> of them</w:t>
      </w:r>
      <w:r w:rsidRPr="00146ACD">
        <w:rPr>
          <w:rFonts w:ascii="Times New Roman" w:hAnsi="Times New Roman"/>
        </w:rPr>
        <w:t>.</w:t>
      </w:r>
    </w:p>
    <w:p w:rsidR="001214A9" w:rsidRPr="00447AE2" w:rsidRDefault="001214A9" w:rsidP="001214A9">
      <w:pPr>
        <w:spacing w:line="480" w:lineRule="auto"/>
        <w:rPr>
          <w:rFonts w:ascii="Times New Roman" w:hAnsi="Times New Roman"/>
        </w:rPr>
      </w:pPr>
      <w:r w:rsidRPr="00447AE2">
        <w:rPr>
          <w:rFonts w:ascii="Times New Roman" w:hAnsi="Times New Roman"/>
          <w:b/>
          <w:szCs w:val="24"/>
          <w:shd w:val="clear" w:color="auto" w:fill="FFFFFF"/>
        </w:rPr>
        <w:t xml:space="preserve">Methods: </w:t>
      </w:r>
      <w:r w:rsidRPr="00447AE2">
        <w:rPr>
          <w:rFonts w:ascii="Times New Roman" w:hAnsi="Times New Roman"/>
          <w:szCs w:val="24"/>
        </w:rPr>
        <w:t>This retrospective</w:t>
      </w:r>
      <w:r w:rsidRPr="00447AE2">
        <w:rPr>
          <w:rFonts w:ascii="Times New Roman" w:hAnsi="Times New Roman" w:hint="eastAsia"/>
          <w:szCs w:val="24"/>
        </w:rPr>
        <w:t xml:space="preserve"> </w:t>
      </w:r>
      <w:r w:rsidRPr="00447AE2">
        <w:rPr>
          <w:rFonts w:ascii="Times New Roman" w:hAnsi="Times New Roman"/>
          <w:szCs w:val="24"/>
        </w:rPr>
        <w:t xml:space="preserve">study included </w:t>
      </w:r>
      <w:r w:rsidRPr="00447AE2">
        <w:rPr>
          <w:rFonts w:ascii="Times New Roman" w:hAnsi="Times New Roman" w:hint="eastAsia"/>
          <w:szCs w:val="24"/>
        </w:rPr>
        <w:t xml:space="preserve">newly </w:t>
      </w:r>
      <w:r w:rsidRPr="00447AE2">
        <w:rPr>
          <w:rFonts w:ascii="Times New Roman" w:hAnsi="Times New Roman"/>
          <w:szCs w:val="24"/>
        </w:rPr>
        <w:t xml:space="preserve">patients with opioid dependence at outpatient department </w:t>
      </w:r>
      <w:r w:rsidRPr="00447AE2">
        <w:rPr>
          <w:rFonts w:ascii="Times New Roman" w:hAnsi="Times New Roman" w:hint="eastAsia"/>
          <w:szCs w:val="24"/>
        </w:rPr>
        <w:t>in</w:t>
      </w:r>
      <w:r w:rsidRPr="00447AE2">
        <w:rPr>
          <w:rFonts w:ascii="Times New Roman" w:hAnsi="Times New Roman"/>
          <w:szCs w:val="24"/>
        </w:rPr>
        <w:t xml:space="preserve"> the Kaohsiung Municipal Kai-Syuan Psychiatric Hospital</w:t>
      </w:r>
      <w:r w:rsidRPr="00447AE2">
        <w:rPr>
          <w:rFonts w:ascii="Times New Roman" w:hAnsi="Times New Roman" w:hint="eastAsia"/>
          <w:szCs w:val="24"/>
        </w:rPr>
        <w:t xml:space="preserve">, </w:t>
      </w:r>
      <w:r w:rsidRPr="00447AE2">
        <w:rPr>
          <w:rFonts w:ascii="Times New Roman" w:hAnsi="Times New Roman"/>
          <w:szCs w:val="24"/>
        </w:rPr>
        <w:t xml:space="preserve">Taiwan. Primary outcome would be set as </w:t>
      </w:r>
      <w:r w:rsidRPr="00447AE2">
        <w:rPr>
          <w:rFonts w:ascii="Times New Roman" w:hAnsi="Times New Roman" w:hint="eastAsia"/>
          <w:szCs w:val="24"/>
        </w:rPr>
        <w:t xml:space="preserve">daily doses of </w:t>
      </w:r>
      <w:r w:rsidRPr="00447AE2">
        <w:rPr>
          <w:rFonts w:ascii="Times New Roman" w:hAnsi="Times New Roman"/>
          <w:szCs w:val="24"/>
        </w:rPr>
        <w:t xml:space="preserve">methadone. The potential predictors, which were presented with categorical variables, included sex, employment status, present of sleep disorder, and marital status. Continuous variables as predictors included age, age at initial MMT, educational level, and attendance rates. </w:t>
      </w:r>
      <w:r w:rsidRPr="00447AE2">
        <w:rPr>
          <w:rStyle w:val="indent1"/>
          <w:rFonts w:ascii="Times New Roman" w:hAnsi="Times New Roman" w:hint="eastAsia"/>
        </w:rPr>
        <w:t>T</w:t>
      </w:r>
      <w:r w:rsidRPr="00447AE2">
        <w:rPr>
          <w:rStyle w:val="indent1"/>
          <w:rFonts w:ascii="Times New Roman" w:hAnsi="Times New Roman"/>
        </w:rPr>
        <w:t>he generalized estimating equations (GEE</w:t>
      </w:r>
      <w:r w:rsidRPr="00447AE2">
        <w:rPr>
          <w:rStyle w:val="indent1"/>
          <w:rFonts w:ascii="Times New Roman" w:hAnsi="Times New Roman" w:hint="eastAsia"/>
        </w:rPr>
        <w:t>s</w:t>
      </w:r>
      <w:r w:rsidRPr="00447AE2">
        <w:rPr>
          <w:rStyle w:val="indent1"/>
          <w:rFonts w:ascii="Times New Roman" w:hAnsi="Times New Roman"/>
        </w:rPr>
        <w:t xml:space="preserve">) </w:t>
      </w:r>
      <w:r w:rsidRPr="00447AE2">
        <w:rPr>
          <w:rStyle w:val="indent1"/>
          <w:rFonts w:ascii="Times New Roman" w:hAnsi="Times New Roman" w:hint="eastAsia"/>
        </w:rPr>
        <w:t xml:space="preserve">was used </w:t>
      </w:r>
      <w:r w:rsidRPr="00447AE2">
        <w:rPr>
          <w:rStyle w:val="indent1"/>
          <w:rFonts w:ascii="Times New Roman" w:hAnsi="Times New Roman"/>
        </w:rPr>
        <w:t>t</w:t>
      </w:r>
      <w:r w:rsidRPr="00447AE2">
        <w:rPr>
          <w:rFonts w:ascii="Times New Roman" w:eastAsia="AdvTT7c3c51d9" w:hAnsi="Times New Roman"/>
          <w:szCs w:val="24"/>
        </w:rPr>
        <w:t xml:space="preserve">o </w:t>
      </w:r>
      <w:r w:rsidRPr="00447AE2">
        <w:rPr>
          <w:rFonts w:ascii="Times New Roman" w:eastAsia="AdvTT7c3c51d9" w:hAnsi="Times New Roman" w:hint="eastAsia"/>
          <w:szCs w:val="24"/>
        </w:rPr>
        <w:t>analyze</w:t>
      </w:r>
      <w:r w:rsidRPr="00447AE2">
        <w:rPr>
          <w:rFonts w:ascii="Times New Roman" w:eastAsia="AdvTT7c3c51d9" w:hAnsi="Times New Roman"/>
          <w:szCs w:val="24"/>
        </w:rPr>
        <w:t xml:space="preserve"> the effect</w:t>
      </w:r>
      <w:r w:rsidRPr="00447AE2">
        <w:rPr>
          <w:rFonts w:ascii="Times New Roman" w:eastAsia="AdvTT7c3c51d9" w:hAnsi="Times New Roman" w:hint="eastAsia"/>
          <w:szCs w:val="24"/>
        </w:rPr>
        <w:t xml:space="preserve"> of potential variables </w:t>
      </w:r>
      <w:r w:rsidRPr="00447AE2">
        <w:rPr>
          <w:rFonts w:ascii="Times New Roman" w:eastAsia="AdvTT7c3c51d9" w:hAnsi="Times New Roman"/>
          <w:szCs w:val="24"/>
        </w:rPr>
        <w:t>over time</w:t>
      </w:r>
      <w:r w:rsidRPr="00447AE2">
        <w:rPr>
          <w:rFonts w:ascii="Times New Roman" w:eastAsia="AdvTT7c3c51d9" w:hAnsi="Times New Roman"/>
        </w:rPr>
        <w:t xml:space="preserve"> on primary outcome.</w:t>
      </w:r>
    </w:p>
    <w:p w:rsidR="001214A9" w:rsidRPr="00447AE2" w:rsidRDefault="001214A9" w:rsidP="001214A9">
      <w:pPr>
        <w:spacing w:line="480" w:lineRule="auto"/>
        <w:rPr>
          <w:rFonts w:ascii="Times New Roman" w:hAnsi="Times New Roman"/>
          <w:szCs w:val="24"/>
        </w:rPr>
      </w:pPr>
      <w:r w:rsidRPr="00447AE2">
        <w:rPr>
          <w:rFonts w:ascii="Times New Roman" w:hAnsi="Times New Roman"/>
          <w:b/>
          <w:szCs w:val="24"/>
          <w:shd w:val="clear" w:color="auto" w:fill="FFFFFF"/>
        </w:rPr>
        <w:t>Results:</w:t>
      </w:r>
      <w:r w:rsidRPr="00447AE2">
        <w:rPr>
          <w:rFonts w:ascii="Times New Roman" w:hAnsi="Times New Roman"/>
          <w:szCs w:val="24"/>
          <w:shd w:val="clear" w:color="auto" w:fill="FFFFFF"/>
        </w:rPr>
        <w:t xml:space="preserve"> </w:t>
      </w:r>
      <w:r w:rsidRPr="00447AE2">
        <w:rPr>
          <w:rFonts w:ascii="Times New Roman" w:hAnsi="Times New Roman" w:hint="eastAsia"/>
          <w:szCs w:val="24"/>
        </w:rPr>
        <w:t>Of</w:t>
      </w:r>
      <w:r w:rsidRPr="00447AE2">
        <w:rPr>
          <w:rFonts w:ascii="Times New Roman" w:eastAsia="TimesNewRoman" w:hAnsi="Times New Roman"/>
          <w:szCs w:val="24"/>
        </w:rPr>
        <w:t xml:space="preserve"> the </w:t>
      </w:r>
      <w:r w:rsidRPr="00447AE2">
        <w:rPr>
          <w:rFonts w:ascii="Times New Roman" w:hAnsi="Times New Roman"/>
          <w:szCs w:val="24"/>
        </w:rPr>
        <w:t>1290</w:t>
      </w:r>
      <w:r w:rsidRPr="00447AE2">
        <w:rPr>
          <w:rFonts w:ascii="Times New Roman" w:hAnsi="Times New Roman" w:hint="eastAsia"/>
          <w:szCs w:val="24"/>
        </w:rPr>
        <w:t xml:space="preserve"> patien</w:t>
      </w:r>
      <w:r w:rsidRPr="00447AE2">
        <w:rPr>
          <w:rFonts w:ascii="Times New Roman" w:eastAsia="TimesNewRoman" w:hAnsi="Times New Roman"/>
          <w:szCs w:val="24"/>
        </w:rPr>
        <w:t xml:space="preserve">ts, </w:t>
      </w:r>
      <w:r w:rsidRPr="00447AE2">
        <w:rPr>
          <w:rFonts w:ascii="Times New Roman" w:hAnsi="Times New Roman"/>
          <w:szCs w:val="24"/>
        </w:rPr>
        <w:t>85.3% (n=1100) were male, and 36.4 % (n=469) of patients were comorbid with sleep disorder. Patients comorbid with</w:t>
      </w:r>
      <w:r w:rsidRPr="00447AE2">
        <w:rPr>
          <w:rFonts w:ascii="Times New Roman" w:hAnsi="Times New Roman" w:hint="eastAsia"/>
          <w:szCs w:val="24"/>
        </w:rPr>
        <w:t xml:space="preserve"> </w:t>
      </w:r>
      <w:r w:rsidRPr="00447AE2">
        <w:rPr>
          <w:rFonts w:ascii="Times New Roman" w:hAnsi="Times New Roman"/>
          <w:szCs w:val="24"/>
        </w:rPr>
        <w:t xml:space="preserve">sleep disorder had higher doses of daily methadone than those without sleep disorder (Estimate: 7.03, P&lt;0.001). Younger age (Estimate: -1.22, P&lt;0.001) and older age at initial MMT (Estimate: 0.44, P&lt;0.001) significantly </w:t>
      </w:r>
      <w:r>
        <w:rPr>
          <w:rFonts w:ascii="Times New Roman" w:hAnsi="Times New Roman"/>
          <w:szCs w:val="24"/>
        </w:rPr>
        <w:t>related to</w:t>
      </w:r>
      <w:r w:rsidRPr="00447AE2">
        <w:rPr>
          <w:rFonts w:ascii="Times New Roman" w:hAnsi="Times New Roman"/>
          <w:szCs w:val="24"/>
        </w:rPr>
        <w:t xml:space="preserve"> higher doses of MMT. Furthermore, lower educational level (Estimate: -0.90, P=0.003) and attendance rates (Estimate: -0.14, P=0.033) significantly </w:t>
      </w:r>
      <w:r>
        <w:rPr>
          <w:rFonts w:ascii="Times New Roman" w:hAnsi="Times New Roman"/>
          <w:szCs w:val="24"/>
        </w:rPr>
        <w:t>associated with</w:t>
      </w:r>
      <w:r w:rsidRPr="00447AE2">
        <w:rPr>
          <w:rFonts w:ascii="Times New Roman" w:hAnsi="Times New Roman"/>
          <w:szCs w:val="24"/>
        </w:rPr>
        <w:t xml:space="preserve"> higher doses of daily methadone among patients undergoing MMT. </w:t>
      </w:r>
      <w:r w:rsidRPr="00447AE2">
        <w:rPr>
          <w:rFonts w:ascii="Times New Roman" w:hAnsi="Times New Roman" w:hint="eastAsia"/>
          <w:szCs w:val="24"/>
        </w:rPr>
        <w:t>For</w:t>
      </w:r>
      <w:r w:rsidRPr="00447AE2">
        <w:rPr>
          <w:rFonts w:ascii="Times New Roman" w:hAnsi="Times New Roman"/>
          <w:szCs w:val="24"/>
        </w:rPr>
        <w:t xml:space="preserve"> the remaining variables, all of them did not reached statistical significance.</w:t>
      </w:r>
    </w:p>
    <w:p w:rsidR="001214A9" w:rsidRPr="00447AE2" w:rsidRDefault="001214A9" w:rsidP="001214A9">
      <w:pPr>
        <w:spacing w:line="480" w:lineRule="auto"/>
        <w:rPr>
          <w:rFonts w:ascii="Times New Roman" w:hAnsi="Times New Roman"/>
          <w:b/>
          <w:szCs w:val="24"/>
          <w:shd w:val="clear" w:color="auto" w:fill="FFFFFF"/>
        </w:rPr>
      </w:pPr>
      <w:r w:rsidRPr="00447AE2">
        <w:rPr>
          <w:rFonts w:ascii="Times New Roman" w:hAnsi="Times New Roman"/>
          <w:b/>
          <w:szCs w:val="24"/>
          <w:shd w:val="clear" w:color="auto" w:fill="FFFFFF"/>
        </w:rPr>
        <w:lastRenderedPageBreak/>
        <w:t>Conclusions:</w:t>
      </w:r>
      <w:r w:rsidRPr="00447AE2">
        <w:rPr>
          <w:rFonts w:ascii="Times New Roman" w:hAnsi="Times New Roman" w:hint="eastAsia"/>
          <w:b/>
          <w:szCs w:val="24"/>
          <w:shd w:val="clear" w:color="auto" w:fill="FFFFFF"/>
        </w:rPr>
        <w:t xml:space="preserve"> </w:t>
      </w:r>
      <w:r w:rsidRPr="00447AE2">
        <w:rPr>
          <w:rFonts w:ascii="Times New Roman" w:hAnsi="Times New Roman"/>
          <w:szCs w:val="24"/>
        </w:rPr>
        <w:t>We reported that several variables were associated with dose of MMT. Future studies will be necessary to replicate our findings and extend the universality.</w:t>
      </w:r>
    </w:p>
    <w:p w:rsidR="00502505" w:rsidRDefault="00502505" w:rsidP="00975289">
      <w:pPr>
        <w:ind w:left="1440" w:firstLine="720"/>
        <w:jc w:val="both"/>
        <w:rPr>
          <w:rFonts w:asciiTheme="majorHAnsi" w:hAnsiTheme="majorHAnsi"/>
          <w:b/>
        </w:rPr>
      </w:pPr>
    </w:p>
    <w:p w:rsidR="00502505" w:rsidRPr="00502505" w:rsidRDefault="00502505" w:rsidP="00502505">
      <w:pPr>
        <w:jc w:val="both"/>
        <w:rPr>
          <w:rFonts w:asciiTheme="majorHAnsi" w:hAnsiTheme="majorHAnsi"/>
          <w:b/>
        </w:rPr>
      </w:pPr>
      <w:r w:rsidRPr="00502505">
        <w:rPr>
          <w:rFonts w:asciiTheme="majorHAnsi" w:hAnsiTheme="majorHAnsi"/>
          <w:b/>
          <w:color w:val="7030A0"/>
          <w:sz w:val="20"/>
          <w:szCs w:val="20"/>
        </w:rPr>
        <w:t>Recent Publications (minimum 5)</w:t>
      </w:r>
    </w:p>
    <w:p w:rsidR="00B20ADE" w:rsidRDefault="00B20ADE" w:rsidP="00B20ADE">
      <w:pPr>
        <w:widowControl w:val="0"/>
        <w:numPr>
          <w:ilvl w:val="0"/>
          <w:numId w:val="2"/>
        </w:numPr>
        <w:spacing w:beforeLines="25" w:before="60" w:afterLines="25" w:after="60" w:line="240" w:lineRule="atLeast"/>
        <w:ind w:right="-873"/>
        <w:jc w:val="both"/>
        <w:rPr>
          <w:rFonts w:eastAsia="標楷體" w:hAnsi="標楷體"/>
          <w:lang w:val="it-IT"/>
        </w:rPr>
      </w:pPr>
      <w:r>
        <w:rPr>
          <w:rFonts w:eastAsia="標楷體" w:hAnsi="標楷體"/>
          <w:lang w:val="it-IT"/>
        </w:rPr>
        <w:t>Tseng PT</w:t>
      </w:r>
      <w:r w:rsidRPr="00C6659C">
        <w:rPr>
          <w:rFonts w:eastAsia="標楷體" w:hAnsi="標楷體"/>
          <w:lang w:val="it-IT"/>
        </w:rPr>
        <w:t>, Cheng Y</w:t>
      </w:r>
      <w:r>
        <w:rPr>
          <w:rFonts w:eastAsia="標楷體" w:hAnsi="標楷體"/>
          <w:lang w:val="it-IT"/>
        </w:rPr>
        <w:t>S</w:t>
      </w:r>
      <w:r w:rsidRPr="00C6659C">
        <w:rPr>
          <w:rFonts w:eastAsia="標楷體" w:hAnsi="標楷體"/>
          <w:lang w:val="it-IT"/>
        </w:rPr>
        <w:t>, Chen YW, Stubbs</w:t>
      </w:r>
      <w:r>
        <w:rPr>
          <w:rFonts w:eastAsia="標楷體" w:hAnsi="標楷體"/>
          <w:lang w:val="it-IT"/>
        </w:rPr>
        <w:t xml:space="preserve"> </w:t>
      </w:r>
      <w:r w:rsidRPr="00C6659C">
        <w:rPr>
          <w:rFonts w:eastAsia="標楷體" w:hAnsi="標楷體"/>
          <w:lang w:val="it-IT"/>
        </w:rPr>
        <w:t xml:space="preserve">Brendon, Whiteley Paul, Carvalho Andre F, </w:t>
      </w:r>
      <w:r w:rsidRPr="00C6659C">
        <w:rPr>
          <w:rFonts w:eastAsia="標楷體" w:hAnsi="標楷體"/>
          <w:b/>
          <w:u w:val="single"/>
          <w:lang w:val="it-IT"/>
        </w:rPr>
        <w:t>Li DJ</w:t>
      </w:r>
      <w:r w:rsidRPr="00C6659C">
        <w:rPr>
          <w:rFonts w:eastAsia="標楷體" w:hAnsi="標楷體"/>
          <w:lang w:val="it-IT"/>
        </w:rPr>
        <w:t>, Chen TY, Yang WC, Tang C</w:t>
      </w:r>
      <w:r>
        <w:rPr>
          <w:rFonts w:eastAsia="標楷體" w:hAnsi="標楷體"/>
          <w:lang w:val="it-IT"/>
        </w:rPr>
        <w:t>H</w:t>
      </w:r>
      <w:r w:rsidRPr="00C6659C">
        <w:rPr>
          <w:rFonts w:eastAsia="標楷體" w:hAnsi="標楷體"/>
          <w:lang w:val="it-IT"/>
        </w:rPr>
        <w:t>, Chu C</w:t>
      </w:r>
      <w:r>
        <w:rPr>
          <w:rFonts w:eastAsia="標楷體" w:hAnsi="標楷體"/>
          <w:lang w:val="it-IT"/>
        </w:rPr>
        <w:t>S</w:t>
      </w:r>
      <w:r w:rsidRPr="00C6659C">
        <w:rPr>
          <w:rFonts w:eastAsia="標楷體" w:hAnsi="標楷體"/>
          <w:lang w:val="it-IT"/>
        </w:rPr>
        <w:t>, Yang W</w:t>
      </w:r>
      <w:r>
        <w:rPr>
          <w:rFonts w:eastAsia="標楷體" w:hAnsi="標楷體"/>
          <w:lang w:val="it-IT"/>
        </w:rPr>
        <w:t>C</w:t>
      </w:r>
      <w:r w:rsidRPr="00C6659C">
        <w:rPr>
          <w:rFonts w:eastAsia="標楷體" w:hAnsi="標楷體"/>
          <w:lang w:val="it-IT"/>
        </w:rPr>
        <w:t>, Liang HY, Wu C</w:t>
      </w:r>
      <w:r>
        <w:rPr>
          <w:rFonts w:eastAsia="標楷體" w:hAnsi="標楷體"/>
          <w:lang w:val="it-IT"/>
        </w:rPr>
        <w:t>K</w:t>
      </w:r>
      <w:r w:rsidRPr="00C6659C">
        <w:rPr>
          <w:rFonts w:eastAsia="標楷體" w:hAnsi="標楷體"/>
          <w:lang w:val="it-IT"/>
        </w:rPr>
        <w:t>, Yen C</w:t>
      </w:r>
      <w:r>
        <w:rPr>
          <w:rFonts w:eastAsia="標楷體" w:hAnsi="標楷體"/>
          <w:lang w:val="it-IT"/>
        </w:rPr>
        <w:t>F</w:t>
      </w:r>
      <w:r w:rsidRPr="00C6659C">
        <w:rPr>
          <w:rFonts w:eastAsia="標楷體" w:hAnsi="標楷體"/>
          <w:lang w:val="it-IT"/>
        </w:rPr>
        <w:t>, Lin P</w:t>
      </w:r>
      <w:r>
        <w:rPr>
          <w:rFonts w:eastAsia="標楷體" w:hAnsi="標楷體"/>
          <w:lang w:val="it-IT"/>
        </w:rPr>
        <w:t>Y</w:t>
      </w:r>
      <w:r w:rsidRPr="00C6659C">
        <w:rPr>
          <w:rFonts w:eastAsia="標楷體" w:hAnsi="標楷體"/>
          <w:lang w:val="it-IT"/>
        </w:rPr>
        <w:t xml:space="preserve">, </w:t>
      </w:r>
      <w:r w:rsidRPr="00C6659C">
        <w:rPr>
          <w:rFonts w:eastAsia="標楷體" w:hAnsi="標楷體"/>
          <w:i/>
          <w:lang w:val="it-IT"/>
        </w:rPr>
        <w:t>Peripheral iron levels in children with autismspectrum disorders versus controls: a systematic review and meta-analysis</w:t>
      </w:r>
      <w:r>
        <w:rPr>
          <w:rFonts w:eastAsia="標楷體" w:hAnsi="標楷體"/>
          <w:lang w:val="it-IT"/>
        </w:rPr>
        <w:t xml:space="preserve">  </w:t>
      </w:r>
      <w:r w:rsidRPr="00C6659C">
        <w:rPr>
          <w:rFonts w:eastAsia="標楷體" w:hAnsi="標楷體"/>
          <w:lang w:val="it-IT"/>
        </w:rPr>
        <w:t>Nutrition</w:t>
      </w:r>
      <w:r>
        <w:rPr>
          <w:rFonts w:eastAsia="標楷體" w:hAnsi="標楷體"/>
          <w:lang w:val="it-IT"/>
        </w:rPr>
        <w:t xml:space="preserve"> </w:t>
      </w:r>
      <w:r w:rsidRPr="00C6659C">
        <w:rPr>
          <w:rFonts w:eastAsia="標楷體" w:hAnsi="標楷體"/>
          <w:lang w:val="it-IT"/>
        </w:rPr>
        <w:t xml:space="preserve">Research </w:t>
      </w:r>
      <w:r>
        <w:rPr>
          <w:rFonts w:eastAsia="標楷體" w:hAnsi="標楷體"/>
          <w:lang w:val="it-IT"/>
        </w:rPr>
        <w:t xml:space="preserve"> </w:t>
      </w:r>
      <w:r w:rsidRPr="00C5364C">
        <w:rPr>
          <w:szCs w:val="24"/>
        </w:rPr>
        <w:t>doi:10.1016/j.nutres.2017.11.004</w:t>
      </w:r>
      <w:r w:rsidRPr="00787136">
        <w:rPr>
          <w:b/>
          <w:szCs w:val="24"/>
        </w:rPr>
        <w:t xml:space="preserve"> (SCI,IF=</w:t>
      </w:r>
      <w:r>
        <w:rPr>
          <w:b/>
          <w:szCs w:val="24"/>
        </w:rPr>
        <w:t>2.737</w:t>
      </w:r>
      <w:r w:rsidRPr="00787136">
        <w:rPr>
          <w:b/>
          <w:szCs w:val="24"/>
        </w:rPr>
        <w:t>)</w:t>
      </w:r>
    </w:p>
    <w:p w:rsidR="00B20ADE" w:rsidRPr="00C5364C" w:rsidRDefault="00B20ADE" w:rsidP="00B20ADE">
      <w:pPr>
        <w:widowControl w:val="0"/>
        <w:numPr>
          <w:ilvl w:val="0"/>
          <w:numId w:val="2"/>
        </w:numPr>
        <w:spacing w:beforeLines="25" w:before="60" w:afterLines="25" w:after="60" w:line="240" w:lineRule="atLeast"/>
        <w:ind w:right="-873"/>
        <w:jc w:val="both"/>
        <w:rPr>
          <w:rFonts w:eastAsia="標楷體" w:hAnsi="標楷體"/>
          <w:lang w:val="it-IT"/>
        </w:rPr>
      </w:pPr>
      <w:r w:rsidRPr="00C5364C">
        <w:rPr>
          <w:szCs w:val="24"/>
          <w:lang w:val="it-IT"/>
        </w:rPr>
        <w:t xml:space="preserve">Chang HY, Tseng PT, Stubbs B, Chu CS, </w:t>
      </w:r>
      <w:r w:rsidRPr="00C5364C">
        <w:rPr>
          <w:b/>
          <w:szCs w:val="24"/>
          <w:u w:val="single"/>
          <w:lang w:val="it-IT"/>
        </w:rPr>
        <w:t>Li DJ</w:t>
      </w:r>
      <w:r w:rsidRPr="00C5364C">
        <w:rPr>
          <w:szCs w:val="24"/>
          <w:lang w:val="it-IT"/>
        </w:rPr>
        <w:t xml:space="preserve">, Fornaro M, Carvalho A, Solmi M, Veronese N, Vieta E, Chen TY, Chen YW, Lin PY, Chow PC. </w:t>
      </w:r>
      <w:r w:rsidRPr="00C5364C">
        <w:rPr>
          <w:i/>
          <w:szCs w:val="24"/>
        </w:rPr>
        <w:t>The efficacy and tolerability of paliperidone in mania of bipolar disorder: A preliminary meta-analysis.</w:t>
      </w:r>
      <w:r w:rsidRPr="00C5364C">
        <w:rPr>
          <w:szCs w:val="24"/>
        </w:rPr>
        <w:t xml:space="preserve"> </w:t>
      </w:r>
      <w:proofErr w:type="spellStart"/>
      <w:r w:rsidRPr="00C5364C">
        <w:rPr>
          <w:szCs w:val="24"/>
        </w:rPr>
        <w:t>Exp</w:t>
      </w:r>
      <w:proofErr w:type="spellEnd"/>
      <w:r w:rsidRPr="00C5364C">
        <w:rPr>
          <w:szCs w:val="24"/>
        </w:rPr>
        <w:t xml:space="preserve"> </w:t>
      </w:r>
      <w:proofErr w:type="spellStart"/>
      <w:r w:rsidRPr="00C5364C">
        <w:rPr>
          <w:szCs w:val="24"/>
        </w:rPr>
        <w:t>Clin</w:t>
      </w:r>
      <w:proofErr w:type="spellEnd"/>
      <w:r w:rsidRPr="00C5364C">
        <w:rPr>
          <w:szCs w:val="24"/>
        </w:rPr>
        <w:t xml:space="preserve"> </w:t>
      </w:r>
      <w:proofErr w:type="spellStart"/>
      <w:r w:rsidRPr="00C5364C">
        <w:rPr>
          <w:szCs w:val="24"/>
        </w:rPr>
        <w:t>Psychopharmacol</w:t>
      </w:r>
      <w:proofErr w:type="spellEnd"/>
      <w:r w:rsidRPr="00C5364C">
        <w:rPr>
          <w:szCs w:val="24"/>
        </w:rPr>
        <w:t xml:space="preserve">. 2017 Oct;25(5):422-433.  </w:t>
      </w:r>
      <w:r w:rsidRPr="00C5364C">
        <w:rPr>
          <w:b/>
          <w:szCs w:val="24"/>
        </w:rPr>
        <w:t>(</w:t>
      </w:r>
      <w:proofErr w:type="gramStart"/>
      <w:r w:rsidRPr="00C5364C">
        <w:rPr>
          <w:b/>
          <w:szCs w:val="24"/>
        </w:rPr>
        <w:t>SCI,IF</w:t>
      </w:r>
      <w:proofErr w:type="gramEnd"/>
      <w:r w:rsidRPr="00C5364C">
        <w:rPr>
          <w:b/>
          <w:szCs w:val="24"/>
        </w:rPr>
        <w:t>=2.186)</w:t>
      </w:r>
    </w:p>
    <w:p w:rsidR="00B20ADE" w:rsidRPr="00C5364C" w:rsidRDefault="00B20ADE" w:rsidP="00B20ADE">
      <w:pPr>
        <w:widowControl w:val="0"/>
        <w:numPr>
          <w:ilvl w:val="0"/>
          <w:numId w:val="2"/>
        </w:numPr>
        <w:spacing w:beforeLines="25" w:before="60" w:afterLines="25" w:after="60" w:line="240" w:lineRule="atLeast"/>
        <w:ind w:right="-873"/>
        <w:jc w:val="both"/>
        <w:rPr>
          <w:rFonts w:eastAsia="標楷體" w:hAnsi="標楷體"/>
          <w:lang w:val="it-IT"/>
        </w:rPr>
      </w:pPr>
      <w:r w:rsidRPr="00C5364C">
        <w:rPr>
          <w:szCs w:val="24"/>
          <w:lang w:val="it-IT"/>
        </w:rPr>
        <w:t xml:space="preserve">Tseng PT, Chen YW, Stubbs B, Carvalho AF, Whiteley P, Tang CH, Yang WC, Chen TY, </w:t>
      </w:r>
      <w:r w:rsidRPr="00C5364C">
        <w:rPr>
          <w:b/>
          <w:szCs w:val="24"/>
          <w:u w:val="single"/>
          <w:lang w:val="it-IT"/>
        </w:rPr>
        <w:t>Li DJ</w:t>
      </w:r>
      <w:r w:rsidRPr="00C5364C">
        <w:rPr>
          <w:szCs w:val="24"/>
          <w:lang w:val="it-IT"/>
        </w:rPr>
        <w:t xml:space="preserve">, Chu CS, Yang WC, Liang HY, Wu CK, Yen CF, Lin PY </w:t>
      </w:r>
      <w:r w:rsidRPr="00C5364C">
        <w:rPr>
          <w:i/>
          <w:szCs w:val="24"/>
        </w:rPr>
        <w:t>Maternal breastfeeding and autism spectrum disorder in children: A systematic review and meta-analysis.</w:t>
      </w:r>
      <w:r w:rsidRPr="00C5364C">
        <w:rPr>
          <w:szCs w:val="24"/>
        </w:rPr>
        <w:t xml:space="preserve"> </w:t>
      </w:r>
      <w:proofErr w:type="spellStart"/>
      <w:r w:rsidRPr="00C5364C">
        <w:rPr>
          <w:szCs w:val="24"/>
        </w:rPr>
        <w:t>Nutr</w:t>
      </w:r>
      <w:proofErr w:type="spellEnd"/>
      <w:r w:rsidRPr="00C5364C">
        <w:rPr>
          <w:szCs w:val="24"/>
        </w:rPr>
        <w:t xml:space="preserve"> </w:t>
      </w:r>
      <w:proofErr w:type="spellStart"/>
      <w:r w:rsidRPr="00C5364C">
        <w:rPr>
          <w:szCs w:val="24"/>
        </w:rPr>
        <w:t>Neurosci</w:t>
      </w:r>
      <w:proofErr w:type="spellEnd"/>
      <w:r w:rsidRPr="00C5364C">
        <w:rPr>
          <w:szCs w:val="24"/>
        </w:rPr>
        <w:t xml:space="preserve">. 2017 Oct 18:1-9.  </w:t>
      </w:r>
      <w:r w:rsidRPr="00C5364C">
        <w:rPr>
          <w:b/>
          <w:szCs w:val="24"/>
        </w:rPr>
        <w:t>(</w:t>
      </w:r>
      <w:proofErr w:type="gramStart"/>
      <w:r w:rsidRPr="00C5364C">
        <w:rPr>
          <w:b/>
          <w:szCs w:val="24"/>
        </w:rPr>
        <w:t>SCI,IF</w:t>
      </w:r>
      <w:proofErr w:type="gramEnd"/>
      <w:r w:rsidRPr="00C5364C">
        <w:rPr>
          <w:b/>
          <w:szCs w:val="24"/>
        </w:rPr>
        <w:t>=</w:t>
      </w:r>
      <w:r w:rsidRPr="00C5364C">
        <w:rPr>
          <w:rFonts w:hint="eastAsia"/>
          <w:b/>
          <w:szCs w:val="24"/>
        </w:rPr>
        <w:t>3</w:t>
      </w:r>
      <w:r w:rsidRPr="00C5364C">
        <w:rPr>
          <w:b/>
          <w:szCs w:val="24"/>
        </w:rPr>
        <w:t>.765)</w:t>
      </w:r>
    </w:p>
    <w:p w:rsidR="00B20ADE" w:rsidRPr="00C5364C" w:rsidRDefault="00B20ADE" w:rsidP="00B20ADE">
      <w:pPr>
        <w:widowControl w:val="0"/>
        <w:numPr>
          <w:ilvl w:val="0"/>
          <w:numId w:val="2"/>
        </w:numPr>
        <w:spacing w:beforeLines="25" w:before="60" w:afterLines="25" w:after="60" w:line="240" w:lineRule="atLeast"/>
        <w:ind w:right="-873"/>
        <w:jc w:val="both"/>
        <w:rPr>
          <w:rFonts w:eastAsia="標楷體" w:hAnsi="標楷體"/>
          <w:lang w:val="it-IT"/>
        </w:rPr>
      </w:pPr>
      <w:r w:rsidRPr="00C5364C">
        <w:rPr>
          <w:szCs w:val="24"/>
          <w:lang w:val="it-IT"/>
        </w:rPr>
        <w:t xml:space="preserve">Chu CS, Stubbs B, Chen TY, Tang CH, </w:t>
      </w:r>
      <w:r w:rsidRPr="00C5364C">
        <w:rPr>
          <w:b/>
          <w:szCs w:val="24"/>
          <w:u w:val="single"/>
          <w:lang w:val="it-IT"/>
        </w:rPr>
        <w:t>Li DJ</w:t>
      </w:r>
      <w:r w:rsidRPr="00C5364C">
        <w:rPr>
          <w:szCs w:val="24"/>
          <w:lang w:val="it-IT"/>
        </w:rPr>
        <w:t xml:space="preserve">, Yang WC, Wu CK, Carvalho AF, Vieta E, Miklowitz DJ, Tseng PT, Lin PY. </w:t>
      </w:r>
      <w:r w:rsidRPr="00C5364C">
        <w:rPr>
          <w:i/>
          <w:szCs w:val="24"/>
        </w:rPr>
        <w:t>The effectiveness of adjunct mindfulness-based intervention in treatment of bipolar disorder: A systematic review and meta-analysis.</w:t>
      </w:r>
      <w:r w:rsidRPr="00C5364C">
        <w:rPr>
          <w:szCs w:val="24"/>
        </w:rPr>
        <w:t xml:space="preserve"> J Affect </w:t>
      </w:r>
      <w:proofErr w:type="spellStart"/>
      <w:r w:rsidRPr="00C5364C">
        <w:rPr>
          <w:szCs w:val="24"/>
        </w:rPr>
        <w:t>Disord</w:t>
      </w:r>
      <w:proofErr w:type="spellEnd"/>
      <w:r w:rsidRPr="00C5364C">
        <w:rPr>
          <w:szCs w:val="24"/>
        </w:rPr>
        <w:t xml:space="preserve">. 2018 Jan </w:t>
      </w:r>
      <w:proofErr w:type="gramStart"/>
      <w:r w:rsidRPr="00C5364C">
        <w:rPr>
          <w:szCs w:val="24"/>
        </w:rPr>
        <w:t>1;225:234</w:t>
      </w:r>
      <w:proofErr w:type="gramEnd"/>
      <w:r w:rsidRPr="00C5364C">
        <w:rPr>
          <w:szCs w:val="24"/>
        </w:rPr>
        <w:t xml:space="preserve">-245 </w:t>
      </w:r>
      <w:r w:rsidRPr="00C5364C">
        <w:rPr>
          <w:b/>
          <w:szCs w:val="24"/>
        </w:rPr>
        <w:t>(SCI,IF=</w:t>
      </w:r>
      <w:r w:rsidRPr="00C5364C">
        <w:rPr>
          <w:rFonts w:hint="eastAsia"/>
          <w:b/>
          <w:szCs w:val="24"/>
        </w:rPr>
        <w:t>3</w:t>
      </w:r>
      <w:r w:rsidRPr="00C5364C">
        <w:rPr>
          <w:b/>
          <w:szCs w:val="24"/>
        </w:rPr>
        <w:t>.432)</w:t>
      </w:r>
    </w:p>
    <w:p w:rsidR="00B20ADE" w:rsidRDefault="00B20ADE" w:rsidP="00B20ADE">
      <w:pPr>
        <w:widowControl w:val="0"/>
        <w:numPr>
          <w:ilvl w:val="0"/>
          <w:numId w:val="2"/>
        </w:numPr>
        <w:spacing w:beforeLines="25" w:before="60" w:afterLines="25" w:after="60" w:line="240" w:lineRule="atLeast"/>
        <w:ind w:right="-873"/>
        <w:jc w:val="both"/>
        <w:rPr>
          <w:rFonts w:eastAsia="標楷體" w:hAnsi="標楷體"/>
          <w:lang w:val="it-IT"/>
        </w:rPr>
      </w:pPr>
      <w:r w:rsidRPr="00C5364C">
        <w:rPr>
          <w:b/>
          <w:szCs w:val="24"/>
          <w:u w:val="single"/>
          <w:lang w:val="it-IT"/>
        </w:rPr>
        <w:t>Li DJ</w:t>
      </w:r>
      <w:r w:rsidRPr="00C5364C">
        <w:rPr>
          <w:szCs w:val="24"/>
          <w:lang w:val="it-IT"/>
        </w:rPr>
        <w:t xml:space="preserve">, Tseng PT, Stubbs B, Chu CS, Chang HY, Vieta E, Fornaro M, Carvalho AF, Solmi M, Veronese N, Chen TY, Chen YW, Lin PY, Chow PC. </w:t>
      </w:r>
      <w:r w:rsidRPr="00C5364C">
        <w:rPr>
          <w:i/>
          <w:szCs w:val="24"/>
        </w:rPr>
        <w:t>Efficacy, safety and tolerability of aripiprazole in bipolar disorder: An updated systematic review and meta-analysis of randomized controlled trials.</w:t>
      </w:r>
      <w:r w:rsidRPr="00C5364C">
        <w:rPr>
          <w:szCs w:val="24"/>
        </w:rPr>
        <w:t xml:space="preserve"> Prog </w:t>
      </w:r>
      <w:proofErr w:type="spellStart"/>
      <w:r w:rsidRPr="00C5364C">
        <w:rPr>
          <w:szCs w:val="24"/>
        </w:rPr>
        <w:t>Neuropsychopharmacol</w:t>
      </w:r>
      <w:proofErr w:type="spellEnd"/>
      <w:r w:rsidRPr="00C5364C">
        <w:rPr>
          <w:szCs w:val="24"/>
        </w:rPr>
        <w:t xml:space="preserve"> </w:t>
      </w:r>
      <w:proofErr w:type="spellStart"/>
      <w:r w:rsidRPr="00C5364C">
        <w:rPr>
          <w:szCs w:val="24"/>
        </w:rPr>
        <w:t>Biol</w:t>
      </w:r>
      <w:proofErr w:type="spellEnd"/>
      <w:r w:rsidRPr="00C5364C">
        <w:rPr>
          <w:szCs w:val="24"/>
        </w:rPr>
        <w:t xml:space="preserve"> Psychiatry. 2017 Oct 3;79(Pt B):289-301 </w:t>
      </w:r>
      <w:r w:rsidRPr="00C5364C">
        <w:rPr>
          <w:b/>
          <w:szCs w:val="24"/>
        </w:rPr>
        <w:t>(</w:t>
      </w:r>
      <w:proofErr w:type="gramStart"/>
      <w:r w:rsidRPr="00C5364C">
        <w:rPr>
          <w:b/>
          <w:szCs w:val="24"/>
        </w:rPr>
        <w:t>SCI,IF</w:t>
      </w:r>
      <w:proofErr w:type="gramEnd"/>
      <w:r w:rsidRPr="00C5364C">
        <w:rPr>
          <w:b/>
          <w:szCs w:val="24"/>
        </w:rPr>
        <w:t>=4.187</w:t>
      </w:r>
      <w:r>
        <w:rPr>
          <w:b/>
          <w:szCs w:val="24"/>
        </w:rPr>
        <w:t>)</w:t>
      </w:r>
    </w:p>
    <w:p w:rsidR="00502505" w:rsidRPr="00C97A3B" w:rsidRDefault="00502505" w:rsidP="00502505">
      <w:pPr>
        <w:pStyle w:val="a3"/>
        <w:rPr>
          <w:rFonts w:asciiTheme="majorHAnsi" w:hAnsiTheme="majorHAnsi"/>
          <w:sz w:val="20"/>
          <w:szCs w:val="20"/>
        </w:rPr>
      </w:pPr>
    </w:p>
    <w:p w:rsidR="00502505" w:rsidRDefault="00502505" w:rsidP="00502505">
      <w:pPr>
        <w:rPr>
          <w:rFonts w:asciiTheme="majorHAnsi" w:hAnsiTheme="majorHAnsi"/>
          <w:sz w:val="20"/>
          <w:szCs w:val="20"/>
        </w:rPr>
      </w:pPr>
    </w:p>
    <w:p w:rsidR="00284A39" w:rsidRPr="00502505" w:rsidRDefault="00284A39" w:rsidP="00502505">
      <w:pPr>
        <w:rPr>
          <w:rFonts w:asciiTheme="majorHAnsi" w:hAnsiTheme="majorHAnsi"/>
          <w:sz w:val="20"/>
          <w:szCs w:val="20"/>
        </w:rPr>
      </w:pPr>
      <w:r>
        <w:rPr>
          <w:noProof/>
        </w:rPr>
        <w:drawing>
          <wp:inline distT="0" distB="0" distL="0" distR="0">
            <wp:extent cx="1083537" cy="1089210"/>
            <wp:effectExtent l="0" t="0" r="2540" b="0"/>
            <wp:docPr id="1" name="圖片 1" descr="圖像裡可能有1 人、墨鏡和眼鏡"/>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圖像裡可能有1 人、墨鏡和眼鏡"/>
                    <pic:cNvPicPr>
                      <a:picLocks noChangeAspect="1" noChangeArrowheads="1"/>
                    </pic:cNvPicPr>
                  </pic:nvPicPr>
                  <pic:blipFill>
                    <a:blip r:embed="rId5" cstate="print">
                      <a:extLst>
                        <a:ext uri="{28A0092B-C50C-407E-A947-70E740481C1C}">
                          <a14:useLocalDpi xmlns:a14="http://schemas.microsoft.com/office/drawing/2010/main" val="0"/>
                        </a:ext>
                      </a:extLst>
                    </a:blip>
                    <a:srcRect/>
                    <a:stretch>
                      <a:fillRect/>
                    </a:stretch>
                  </pic:blipFill>
                  <pic:spPr bwMode="auto">
                    <a:xfrm>
                      <a:off x="0" y="0"/>
                      <a:ext cx="1102813" cy="1108587"/>
                    </a:xfrm>
                    <a:prstGeom prst="rect">
                      <a:avLst/>
                    </a:prstGeom>
                    <a:noFill/>
                    <a:ln>
                      <a:noFill/>
                    </a:ln>
                  </pic:spPr>
                </pic:pic>
              </a:graphicData>
            </a:graphic>
          </wp:inline>
        </w:drawing>
      </w:r>
    </w:p>
    <w:p w:rsidR="00502505" w:rsidRPr="00502505" w:rsidRDefault="00502505" w:rsidP="00502505">
      <w:pPr>
        <w:rPr>
          <w:rFonts w:asciiTheme="majorHAnsi" w:hAnsiTheme="majorHAnsi"/>
          <w:b/>
          <w:sz w:val="20"/>
          <w:szCs w:val="20"/>
        </w:rPr>
      </w:pPr>
      <w:r w:rsidRPr="00502505">
        <w:rPr>
          <w:rFonts w:asciiTheme="majorHAnsi" w:hAnsiTheme="majorHAnsi"/>
          <w:b/>
          <w:sz w:val="20"/>
          <w:szCs w:val="20"/>
        </w:rPr>
        <w:t>Biography (</w:t>
      </w:r>
      <w:proofErr w:type="gramStart"/>
      <w:r w:rsidRPr="00502505">
        <w:rPr>
          <w:rFonts w:asciiTheme="majorHAnsi" w:hAnsiTheme="majorHAnsi"/>
          <w:b/>
          <w:sz w:val="20"/>
          <w:szCs w:val="20"/>
        </w:rPr>
        <w:t>150 word</w:t>
      </w:r>
      <w:proofErr w:type="gramEnd"/>
      <w:r w:rsidRPr="00502505">
        <w:rPr>
          <w:rFonts w:asciiTheme="majorHAnsi" w:hAnsiTheme="majorHAnsi"/>
          <w:b/>
          <w:sz w:val="20"/>
          <w:szCs w:val="20"/>
        </w:rPr>
        <w:t xml:space="preserve"> limit)</w:t>
      </w:r>
    </w:p>
    <w:p w:rsidR="00502505" w:rsidRPr="00502505" w:rsidRDefault="00B20ADE" w:rsidP="00502505">
      <w:pPr>
        <w:jc w:val="both"/>
        <w:rPr>
          <w:rFonts w:asciiTheme="majorHAnsi" w:hAnsiTheme="majorHAnsi"/>
          <w:sz w:val="20"/>
          <w:szCs w:val="20"/>
        </w:rPr>
      </w:pPr>
      <w:r>
        <w:rPr>
          <w:rFonts w:asciiTheme="majorHAnsi" w:hAnsiTheme="majorHAnsi"/>
          <w:sz w:val="20"/>
          <w:szCs w:val="20"/>
        </w:rPr>
        <w:lastRenderedPageBreak/>
        <w:t>Dian-</w:t>
      </w:r>
      <w:proofErr w:type="spellStart"/>
      <w:r>
        <w:rPr>
          <w:rFonts w:asciiTheme="majorHAnsi" w:hAnsiTheme="majorHAnsi"/>
          <w:sz w:val="20"/>
          <w:szCs w:val="20"/>
        </w:rPr>
        <w:t>Jeng</w:t>
      </w:r>
      <w:proofErr w:type="spellEnd"/>
      <w:r>
        <w:rPr>
          <w:rFonts w:asciiTheme="majorHAnsi" w:hAnsiTheme="majorHAnsi"/>
          <w:sz w:val="20"/>
          <w:szCs w:val="20"/>
        </w:rPr>
        <w:t xml:space="preserve"> Li </w:t>
      </w:r>
      <w:r w:rsidR="00284A39">
        <w:rPr>
          <w:rFonts w:asciiTheme="majorHAnsi" w:hAnsiTheme="majorHAnsi"/>
          <w:sz w:val="20"/>
          <w:szCs w:val="20"/>
        </w:rPr>
        <w:t xml:space="preserve">is graduated from china medical university with medical degree and completed his training course of residency and fellowship at </w:t>
      </w:r>
      <w:r w:rsidR="00284A39">
        <w:rPr>
          <w:rFonts w:ascii="Times New Roman" w:eastAsia="TimesNewRoman" w:hAnsi="Times New Roman"/>
          <w:szCs w:val="24"/>
        </w:rPr>
        <w:t>K</w:t>
      </w:r>
      <w:r w:rsidR="00284A39" w:rsidRPr="0045240B">
        <w:rPr>
          <w:rFonts w:ascii="Times New Roman" w:eastAsia="TimesNewRoman" w:hAnsi="Times New Roman"/>
          <w:szCs w:val="24"/>
        </w:rPr>
        <w:t>aohsiung Municipal Kai-Syuan Psychiatric Hospital</w:t>
      </w:r>
      <w:r w:rsidR="00284A39">
        <w:rPr>
          <w:rFonts w:ascii="Times New Roman" w:eastAsia="TimesNewRoman" w:hAnsi="Times New Roman"/>
          <w:szCs w:val="24"/>
        </w:rPr>
        <w:t>. Currently he works as the attending physician at department of addiction science.</w:t>
      </w:r>
    </w:p>
    <w:p w:rsidR="00502505" w:rsidRPr="00502505" w:rsidRDefault="00502505" w:rsidP="00502505">
      <w:pPr>
        <w:jc w:val="both"/>
        <w:rPr>
          <w:rFonts w:asciiTheme="majorHAnsi" w:hAnsiTheme="majorHAnsi"/>
          <w:b/>
          <w:sz w:val="20"/>
          <w:szCs w:val="20"/>
        </w:rPr>
      </w:pPr>
      <w:r w:rsidRPr="00502505">
        <w:rPr>
          <w:rFonts w:asciiTheme="majorHAnsi" w:hAnsiTheme="majorHAnsi"/>
          <w:b/>
          <w:sz w:val="20"/>
          <w:szCs w:val="20"/>
        </w:rPr>
        <w:t xml:space="preserve">Presenting author details </w:t>
      </w:r>
    </w:p>
    <w:p w:rsidR="00502505" w:rsidRPr="00502505" w:rsidRDefault="00502505" w:rsidP="00502505">
      <w:pPr>
        <w:spacing w:after="0"/>
        <w:jc w:val="both"/>
        <w:rPr>
          <w:rFonts w:asciiTheme="majorHAnsi" w:hAnsiTheme="majorHAnsi"/>
          <w:sz w:val="20"/>
          <w:szCs w:val="20"/>
        </w:rPr>
      </w:pPr>
      <w:r w:rsidRPr="00502505">
        <w:rPr>
          <w:rFonts w:asciiTheme="majorHAnsi" w:hAnsiTheme="majorHAnsi"/>
          <w:sz w:val="20"/>
          <w:szCs w:val="20"/>
        </w:rPr>
        <w:t xml:space="preserve">Full name:  </w:t>
      </w:r>
      <w:r w:rsidR="00284A39">
        <w:rPr>
          <w:rFonts w:asciiTheme="majorHAnsi" w:hAnsiTheme="majorHAnsi"/>
          <w:sz w:val="20"/>
          <w:szCs w:val="20"/>
        </w:rPr>
        <w:t>Dian-</w:t>
      </w:r>
      <w:proofErr w:type="spellStart"/>
      <w:r w:rsidR="00284A39">
        <w:rPr>
          <w:rFonts w:asciiTheme="majorHAnsi" w:hAnsiTheme="majorHAnsi"/>
          <w:sz w:val="20"/>
          <w:szCs w:val="20"/>
        </w:rPr>
        <w:t>Jeng</w:t>
      </w:r>
      <w:proofErr w:type="spellEnd"/>
      <w:r w:rsidR="00284A39">
        <w:rPr>
          <w:rFonts w:asciiTheme="majorHAnsi" w:hAnsiTheme="majorHAnsi"/>
          <w:sz w:val="20"/>
          <w:szCs w:val="20"/>
        </w:rPr>
        <w:t xml:space="preserve"> Li</w:t>
      </w:r>
    </w:p>
    <w:p w:rsidR="00502505" w:rsidRPr="00502505" w:rsidRDefault="00502505" w:rsidP="00502505">
      <w:pPr>
        <w:spacing w:after="0"/>
        <w:jc w:val="both"/>
        <w:rPr>
          <w:rFonts w:asciiTheme="majorHAnsi" w:hAnsiTheme="majorHAnsi"/>
          <w:sz w:val="20"/>
          <w:szCs w:val="20"/>
        </w:rPr>
      </w:pPr>
      <w:r w:rsidRPr="00502505">
        <w:rPr>
          <w:rFonts w:asciiTheme="majorHAnsi" w:hAnsiTheme="majorHAnsi"/>
          <w:sz w:val="20"/>
          <w:szCs w:val="20"/>
        </w:rPr>
        <w:t xml:space="preserve">Email: </w:t>
      </w:r>
      <w:r w:rsidR="00284A39">
        <w:rPr>
          <w:rFonts w:asciiTheme="majorHAnsi" w:hAnsiTheme="majorHAnsi"/>
          <w:sz w:val="20"/>
          <w:szCs w:val="20"/>
        </w:rPr>
        <w:t>edcrfvm45@hotmail.com</w:t>
      </w:r>
    </w:p>
    <w:p w:rsidR="000704D8" w:rsidRDefault="00502505" w:rsidP="00502505">
      <w:pPr>
        <w:autoSpaceDE w:val="0"/>
        <w:autoSpaceDN w:val="0"/>
        <w:adjustRightInd w:val="0"/>
        <w:spacing w:after="0"/>
        <w:rPr>
          <w:rFonts w:asciiTheme="majorHAnsi" w:hAnsiTheme="majorHAnsi"/>
          <w:sz w:val="20"/>
          <w:szCs w:val="20"/>
          <w:lang w:val="en-NZ"/>
        </w:rPr>
      </w:pPr>
      <w:r w:rsidRPr="00502505">
        <w:rPr>
          <w:rFonts w:asciiTheme="majorHAnsi" w:hAnsiTheme="majorHAnsi"/>
          <w:sz w:val="20"/>
          <w:szCs w:val="20"/>
          <w:lang w:val="en-NZ"/>
        </w:rPr>
        <w:t>Contact number:</w:t>
      </w:r>
      <w:r w:rsidR="00284A39">
        <w:rPr>
          <w:rFonts w:asciiTheme="majorHAnsi" w:hAnsiTheme="majorHAnsi"/>
          <w:sz w:val="20"/>
          <w:szCs w:val="20"/>
          <w:lang w:val="en-NZ"/>
        </w:rPr>
        <w:t xml:space="preserve"> +886-7-7513171#2371</w:t>
      </w:r>
    </w:p>
    <w:p w:rsidR="00502505" w:rsidRPr="00502505" w:rsidRDefault="000704D8" w:rsidP="00502505">
      <w:pPr>
        <w:autoSpaceDE w:val="0"/>
        <w:autoSpaceDN w:val="0"/>
        <w:adjustRightInd w:val="0"/>
        <w:spacing w:after="0"/>
        <w:rPr>
          <w:rFonts w:asciiTheme="majorHAnsi" w:hAnsiTheme="majorHAnsi"/>
          <w:b/>
          <w:sz w:val="20"/>
          <w:szCs w:val="20"/>
          <w:lang w:val="en-NZ"/>
        </w:rPr>
      </w:pPr>
      <w:r>
        <w:rPr>
          <w:rFonts w:asciiTheme="majorHAnsi" w:hAnsiTheme="majorHAnsi"/>
          <w:sz w:val="20"/>
          <w:szCs w:val="20"/>
          <w:lang w:val="en-NZ"/>
        </w:rPr>
        <w:t xml:space="preserve">Research Interest: </w:t>
      </w:r>
      <w:r w:rsidR="00502505" w:rsidRPr="00502505">
        <w:rPr>
          <w:rFonts w:asciiTheme="majorHAnsi" w:hAnsiTheme="majorHAnsi"/>
          <w:sz w:val="20"/>
          <w:szCs w:val="20"/>
          <w:lang w:val="en-NZ" w:eastAsia="ko-KR"/>
        </w:rPr>
        <w:t xml:space="preserve"> </w:t>
      </w:r>
      <w:r w:rsidR="00284A39">
        <w:rPr>
          <w:rFonts w:asciiTheme="majorHAnsi" w:hAnsiTheme="majorHAnsi"/>
          <w:sz w:val="20"/>
          <w:szCs w:val="20"/>
          <w:lang w:val="en-NZ" w:eastAsia="ko-KR"/>
        </w:rPr>
        <w:t>addiction science</w:t>
      </w:r>
      <w:r w:rsidR="00502505" w:rsidRPr="00502505">
        <w:rPr>
          <w:rFonts w:asciiTheme="majorHAnsi" w:hAnsiTheme="majorHAnsi"/>
          <w:sz w:val="20"/>
          <w:szCs w:val="20"/>
          <w:lang w:val="en-NZ"/>
        </w:rPr>
        <w:br/>
        <w:t xml:space="preserve">Twitter account: </w:t>
      </w:r>
      <w:r w:rsidR="00502505" w:rsidRPr="00502505">
        <w:rPr>
          <w:rFonts w:asciiTheme="majorHAnsi" w:hAnsiTheme="majorHAnsi"/>
          <w:sz w:val="20"/>
          <w:szCs w:val="20"/>
          <w:lang w:val="en-NZ"/>
        </w:rPr>
        <w:br/>
        <w:t>Linked In account:</w:t>
      </w:r>
    </w:p>
    <w:p w:rsidR="00502505" w:rsidRPr="00502505" w:rsidRDefault="00502505" w:rsidP="00502505">
      <w:pPr>
        <w:autoSpaceDE w:val="0"/>
        <w:autoSpaceDN w:val="0"/>
        <w:adjustRightInd w:val="0"/>
        <w:spacing w:after="0"/>
        <w:rPr>
          <w:rFonts w:asciiTheme="majorHAnsi" w:hAnsiTheme="majorHAnsi"/>
          <w:sz w:val="20"/>
          <w:szCs w:val="20"/>
          <w:lang w:val="en-NZ" w:eastAsia="ko-KR"/>
        </w:rPr>
      </w:pPr>
      <w:r w:rsidRPr="00502505">
        <w:rPr>
          <w:rFonts w:asciiTheme="majorHAnsi" w:hAnsiTheme="majorHAnsi"/>
          <w:sz w:val="20"/>
          <w:szCs w:val="20"/>
          <w:lang w:val="en-NZ"/>
        </w:rPr>
        <w:t xml:space="preserve">Category: </w:t>
      </w:r>
      <w:r w:rsidRPr="00502505">
        <w:rPr>
          <w:rFonts w:asciiTheme="majorHAnsi" w:hAnsiTheme="majorHAnsi"/>
          <w:b/>
          <w:sz w:val="20"/>
          <w:szCs w:val="20"/>
          <w:lang w:val="en-NZ"/>
        </w:rPr>
        <w:t>Poster presentation</w:t>
      </w:r>
      <w:r w:rsidRPr="00502505">
        <w:rPr>
          <w:rFonts w:asciiTheme="majorHAnsi" w:hAnsiTheme="majorHAnsi"/>
          <w:sz w:val="20"/>
          <w:szCs w:val="20"/>
          <w:lang w:val="en-NZ"/>
        </w:rPr>
        <w:t xml:space="preserve"> </w:t>
      </w:r>
      <w:r w:rsidRPr="00502505">
        <w:rPr>
          <w:rFonts w:asciiTheme="majorHAnsi" w:hAnsiTheme="majorHAnsi"/>
          <w:sz w:val="20"/>
          <w:szCs w:val="20"/>
          <w:lang w:val="en-NZ"/>
        </w:rPr>
        <w:br/>
      </w:r>
    </w:p>
    <w:p w:rsidR="00502505" w:rsidRPr="00502505" w:rsidRDefault="00502505" w:rsidP="00502505">
      <w:pPr>
        <w:jc w:val="both"/>
        <w:rPr>
          <w:rFonts w:asciiTheme="majorHAnsi" w:hAnsiTheme="majorHAnsi"/>
          <w:b/>
          <w:sz w:val="20"/>
          <w:szCs w:val="20"/>
        </w:rPr>
      </w:pPr>
    </w:p>
    <w:p w:rsidR="00502505" w:rsidRPr="00502505" w:rsidRDefault="00502505" w:rsidP="00502505">
      <w:pPr>
        <w:jc w:val="both"/>
        <w:rPr>
          <w:rFonts w:asciiTheme="majorHAnsi" w:hAnsiTheme="majorHAnsi"/>
          <w:b/>
          <w:sz w:val="20"/>
          <w:szCs w:val="20"/>
        </w:rPr>
      </w:pPr>
      <w:r w:rsidRPr="00502505">
        <w:rPr>
          <w:rFonts w:asciiTheme="majorHAnsi" w:hAnsiTheme="majorHAnsi"/>
          <w:b/>
          <w:sz w:val="20"/>
          <w:szCs w:val="20"/>
        </w:rPr>
        <w:t>Notes/Comments:</w:t>
      </w:r>
    </w:p>
    <w:p w:rsidR="00FA4BB6" w:rsidRPr="00502505" w:rsidRDefault="001072E4">
      <w:pPr>
        <w:rPr>
          <w:rFonts w:asciiTheme="majorHAnsi" w:hAnsiTheme="majorHAnsi" w:hint="eastAsia"/>
          <w:sz w:val="20"/>
          <w:szCs w:val="20"/>
          <w:lang w:eastAsia="zh-TW"/>
        </w:rPr>
      </w:pPr>
    </w:p>
    <w:sectPr w:rsidR="00FA4BB6" w:rsidRPr="00502505" w:rsidSect="00A70B34">
      <w:pgSz w:w="12240" w:h="15840"/>
      <w:pgMar w:top="2880" w:right="720" w:bottom="2880" w:left="72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Times New Roman">
    <w:panose1 w:val="02020603050405020304"/>
    <w:charset w:val="00"/>
    <w:family w:val="roman"/>
    <w:pitch w:val="variable"/>
    <w:sig w:usb0="E0002AFF" w:usb1="C0007843" w:usb2="00000009" w:usb3="00000000" w:csb0="000001FF" w:csb1="00000000"/>
  </w:font>
  <w:font w:name="Calibri">
    <w:panose1 w:val="020F0502020204030204"/>
    <w:charset w:val="00"/>
    <w:family w:val="swiss"/>
    <w:pitch w:val="variable"/>
    <w:sig w:usb0="E00002FF" w:usb1="4000ACFF" w:usb2="00000001" w:usb3="00000000" w:csb0="0000019F" w:csb1="00000000"/>
  </w:font>
  <w:font w:name="新細明體">
    <w:altName w:val="PMingLiU"/>
    <w:panose1 w:val="02020500000000000000"/>
    <w:charset w:val="88"/>
    <w:family w:val="roman"/>
    <w:pitch w:val="variable"/>
    <w:sig w:usb0="A00002FF" w:usb1="28CFFCFA" w:usb2="00000016" w:usb3="00000000" w:csb0="00100001" w:csb1="00000000"/>
  </w:font>
  <w:font w:name="Malgun Gothic">
    <w:panose1 w:val="020B0503020000020004"/>
    <w:charset w:val="81"/>
    <w:family w:val="swiss"/>
    <w:pitch w:val="variable"/>
    <w:sig w:usb0="9000002F" w:usb1="29D77CFB" w:usb2="00000012" w:usb3="00000000" w:csb0="00080001"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A00002EF" w:usb1="4000004B" w:usb2="00000000" w:usb3="00000000" w:csb0="0000009F" w:csb1="00000000"/>
  </w:font>
  <w:font w:name="MS PGothic">
    <w:panose1 w:val="020B0600070205080204"/>
    <w:charset w:val="80"/>
    <w:family w:val="swiss"/>
    <w:pitch w:val="variable"/>
    <w:sig w:usb0="E00002FF" w:usb1="6AC7FDFB" w:usb2="08000012" w:usb3="00000000" w:csb0="0002009F" w:csb1="00000000"/>
  </w:font>
  <w:font w:name="TimesNewRoman">
    <w:altName w:val="MS Gothic"/>
    <w:panose1 w:val="00000000000000000000"/>
    <w:charset w:val="00"/>
    <w:family w:val="auto"/>
    <w:notTrueType/>
    <w:pitch w:val="default"/>
    <w:sig w:usb0="00000003" w:usb1="00000000" w:usb2="00000000" w:usb3="00000000" w:csb0="00000001" w:csb1="00000000"/>
  </w:font>
  <w:font w:name="AdvTT7c3c51d9">
    <w:altName w:val="微軟正黑體"/>
    <w:panose1 w:val="00000000000000000000"/>
    <w:charset w:val="88"/>
    <w:family w:val="auto"/>
    <w:notTrueType/>
    <w:pitch w:val="default"/>
    <w:sig w:usb0="00000003" w:usb1="08080000" w:usb2="00000010" w:usb3="00000000" w:csb0="00100001" w:csb1="00000000"/>
  </w:font>
  <w:font w:name="標楷體">
    <w:panose1 w:val="03000509000000000000"/>
    <w:charset w:val="88"/>
    <w:family w:val="script"/>
    <w:pitch w:val="fixed"/>
    <w:sig w:usb0="00000003" w:usb1="080E0000" w:usb2="00000016" w:usb3="00000000" w:csb0="00100001"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08566DD5"/>
    <w:multiLevelType w:val="hybridMultilevel"/>
    <w:tmpl w:val="14CAE36E"/>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 w15:restartNumberingAfterBreak="0">
    <w:nsid w:val="57035597"/>
    <w:multiLevelType w:val="hybridMultilevel"/>
    <w:tmpl w:val="A06839E4"/>
    <w:lvl w:ilvl="0" w:tplc="0409000F">
      <w:start w:val="1"/>
      <w:numFmt w:val="decimal"/>
      <w:lvlText w:val="%1."/>
      <w:lvlJc w:val="left"/>
      <w:pPr>
        <w:ind w:left="480" w:hanging="480"/>
      </w:pPr>
    </w:lvl>
    <w:lvl w:ilvl="1" w:tplc="04090019" w:tentative="1">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num w:numId="1">
    <w:abstractNumId w:val="0"/>
  </w:num>
  <w:num w:numId="2">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20"/>
  <w:bordersDoNotSurroundHeader/>
  <w:bordersDoNotSurroundFooter/>
  <w:proofState w:spelling="clean" w:grammar="clean"/>
  <w:defaultTabStop w:val="720"/>
  <w:drawingGridHorizontalSpacing w:val="110"/>
  <w:displayHorizontalDrawingGridEvery w:val="2"/>
  <w:displayVerticalDrawingGridEvery w:val="2"/>
  <w:characterSpacingControl w:val="doNotCompress"/>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rsids>
    <w:rsidRoot w:val="00990B57"/>
    <w:rsid w:val="000704D8"/>
    <w:rsid w:val="001072E4"/>
    <w:rsid w:val="001214A9"/>
    <w:rsid w:val="00284A39"/>
    <w:rsid w:val="0031592F"/>
    <w:rsid w:val="00502505"/>
    <w:rsid w:val="007D27F0"/>
    <w:rsid w:val="0096398E"/>
    <w:rsid w:val="00975289"/>
    <w:rsid w:val="00990B57"/>
    <w:rsid w:val="009A7053"/>
    <w:rsid w:val="00A70B34"/>
    <w:rsid w:val="00B20ADE"/>
    <w:rsid w:val="00C97A3B"/>
    <w:rsid w:val="00CB2481"/>
  </w:rsids>
  <m:mathPr>
    <m:mathFont m:val="Cambria Math"/>
    <m:brkBin m:val="before"/>
    <m:brkBinSub m:val="--"/>
    <m:smallFrac m:val="0"/>
    <m:dispDef/>
    <m:lMargin m:val="0"/>
    <m:rMargin m:val="0"/>
    <m:defJc m:val="centerGroup"/>
    <m:wrapIndent m:val="1440"/>
    <m:intLim m:val="subSup"/>
    <m:naryLim m:val="undOvr"/>
  </m:mathPr>
  <w:themeFontLang w:val="en-US" w:eastAsia="zh-TW"/>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DBFC546"/>
  <w15:docId w15:val="{71529FBE-376C-44E9-BBC2-709A20704DF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semiHidden="1" w:uiPriority="59" w:unhideWhenUsed="1"/>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a">
    <w:name w:val="Normal"/>
    <w:qFormat/>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List Paragraph"/>
    <w:basedOn w:val="a"/>
    <w:uiPriority w:val="34"/>
    <w:qFormat/>
    <w:rsid w:val="00502505"/>
    <w:pPr>
      <w:spacing w:after="0" w:line="240" w:lineRule="auto"/>
      <w:ind w:left="720"/>
      <w:contextualSpacing/>
    </w:pPr>
    <w:rPr>
      <w:rFonts w:ascii="Times New Roman" w:eastAsia="Malgun Gothic" w:hAnsi="Times New Roman" w:cs="Times New Roman"/>
      <w:sz w:val="24"/>
      <w:szCs w:val="24"/>
      <w:lang w:val="it-IT" w:eastAsia="it-IT"/>
    </w:rPr>
  </w:style>
  <w:style w:type="paragraph" w:styleId="a4">
    <w:name w:val="Balloon Text"/>
    <w:basedOn w:val="a"/>
    <w:link w:val="a5"/>
    <w:uiPriority w:val="99"/>
    <w:semiHidden/>
    <w:unhideWhenUsed/>
    <w:rsid w:val="00502505"/>
    <w:pPr>
      <w:spacing w:after="0" w:line="240" w:lineRule="auto"/>
    </w:pPr>
    <w:rPr>
      <w:rFonts w:ascii="Tahoma" w:hAnsi="Tahoma" w:cs="Tahoma"/>
      <w:sz w:val="16"/>
      <w:szCs w:val="16"/>
    </w:rPr>
  </w:style>
  <w:style w:type="character" w:customStyle="1" w:styleId="a5">
    <w:name w:val="註解方塊文字 字元"/>
    <w:basedOn w:val="a0"/>
    <w:link w:val="a4"/>
    <w:uiPriority w:val="99"/>
    <w:semiHidden/>
    <w:rsid w:val="00502505"/>
    <w:rPr>
      <w:rFonts w:ascii="Tahoma" w:hAnsi="Tahoma" w:cs="Tahoma"/>
      <w:sz w:val="16"/>
      <w:szCs w:val="16"/>
    </w:rPr>
  </w:style>
  <w:style w:type="character" w:customStyle="1" w:styleId="indent1">
    <w:name w:val="indent1"/>
    <w:rsid w:val="001214A9"/>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7"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ntTable" Target="fontTable.xml"/><Relationship Id="rId5" Type="http://schemas.openxmlformats.org/officeDocument/2006/relationships/image" Target="media/image1.jpeg"/><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26</TotalTime>
  <Pages>3</Pages>
  <Words>654</Words>
  <Characters>3734</Characters>
  <Application>Microsoft Office Word</Application>
  <DocSecurity>0</DocSecurity>
  <Lines>31</Lines>
  <Paragraphs>8</Paragraphs>
  <ScaleCrop>false</ScaleCrop>
  <Company/>
  <LinksUpToDate>false</LinksUpToDate>
  <CharactersWithSpaces>4380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Forensic Psychology 2016</dc:creator>
  <cp:keywords/>
  <dc:description/>
  <cp:lastModifiedBy>rfv edc</cp:lastModifiedBy>
  <cp:revision>10</cp:revision>
  <dcterms:created xsi:type="dcterms:W3CDTF">2017-02-11T04:37:00Z</dcterms:created>
  <dcterms:modified xsi:type="dcterms:W3CDTF">2018-01-10T08:04:00Z</dcterms:modified>
</cp:coreProperties>
</file>