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240"/>
        <w:ind w:right="0" w:left="0" w:firstLine="0"/>
        <w:jc w:val="center"/>
        <w:rPr>
          <w:rFonts w:ascii="Calibri" w:hAnsi="Calibri" w:cs="Calibri" w:eastAsia="Calibri"/>
          <w:b/>
          <w:color w:val="auto"/>
          <w:spacing w:val="0"/>
          <w:position w:val="0"/>
          <w:sz w:val="26"/>
          <w:shd w:fill="auto" w:val="clear"/>
        </w:rPr>
      </w:pPr>
      <w:r>
        <w:rPr>
          <w:rFonts w:ascii="Calibri" w:hAnsi="Calibri" w:cs="Calibri" w:eastAsia="Calibri"/>
          <w:b/>
          <w:color w:val="auto"/>
          <w:spacing w:val="0"/>
          <w:position w:val="0"/>
          <w:sz w:val="36"/>
          <w:shd w:fill="auto" w:val="clear"/>
        </w:rPr>
        <w:t xml:space="preserve">SUBSTANCE ABUSE IN NIGERIAN, ADOLESCENT BOYS</w:t>
      </w:r>
    </w:p>
    <w:p>
      <w:pPr>
        <w:spacing w:before="0" w:after="160" w:line="240"/>
        <w:ind w:right="0" w:left="0" w:firstLine="0"/>
        <w:jc w:val="center"/>
        <w:rPr>
          <w:rFonts w:ascii="Calibri" w:hAnsi="Calibri" w:cs="Calibri" w:eastAsia="Calibri"/>
          <w:b/>
          <w:color w:val="auto"/>
          <w:spacing w:val="0"/>
          <w:position w:val="0"/>
          <w:sz w:val="20"/>
          <w:shd w:fill="auto" w:val="clear"/>
        </w:rPr>
      </w:pPr>
      <w:r>
        <w:rPr>
          <w:rFonts w:ascii="Calibri" w:hAnsi="Calibri" w:cs="Calibri" w:eastAsia="Calibri"/>
          <w:b/>
          <w:color w:val="auto"/>
          <w:spacing w:val="0"/>
          <w:position w:val="0"/>
          <w:sz w:val="20"/>
          <w:shd w:fill="auto" w:val="clear"/>
        </w:rPr>
        <w:t xml:space="preserve">MR USMAN MUHAMMED; Program Manager, Adolescent Substance Abuse Program (MALE)</w:t>
      </w:r>
    </w:p>
    <w:p>
      <w:pPr>
        <w:spacing w:before="0" w:after="160" w:line="240"/>
        <w:ind w:right="0" w:left="0" w:firstLine="0"/>
        <w:jc w:val="center"/>
        <w:rPr>
          <w:rFonts w:ascii="Calibri" w:hAnsi="Calibri" w:cs="Calibri" w:eastAsia="Calibri"/>
          <w:b/>
          <w:color w:val="auto"/>
          <w:spacing w:val="0"/>
          <w:position w:val="0"/>
          <w:sz w:val="20"/>
          <w:shd w:fill="auto" w:val="clear"/>
        </w:rPr>
      </w:pPr>
      <w:r>
        <w:rPr>
          <w:rFonts w:ascii="Calibri" w:hAnsi="Calibri" w:cs="Calibri" w:eastAsia="Calibri"/>
          <w:b/>
          <w:color w:val="auto"/>
          <w:spacing w:val="0"/>
          <w:position w:val="0"/>
          <w:sz w:val="20"/>
          <w:shd w:fill="auto" w:val="clear"/>
        </w:rPr>
        <w:t xml:space="preserve">Medical Doctors Inter-Community Health Initiative, Nigeria - West Africa</w:t>
      </w:r>
    </w:p>
    <w:p>
      <w:pPr>
        <w:spacing w:before="0" w:after="160" w:line="240"/>
        <w:ind w:right="0" w:left="0" w:firstLine="0"/>
        <w:jc w:val="left"/>
        <w:rPr>
          <w:rFonts w:ascii="Calibri" w:hAnsi="Calibri" w:cs="Calibri" w:eastAsia="Calibri"/>
          <w:color w:val="auto"/>
          <w:spacing w:val="0"/>
          <w:position w:val="0"/>
          <w:sz w:val="26"/>
          <w:shd w:fill="auto" w:val="clear"/>
        </w:rPr>
      </w:pPr>
      <w:r>
        <w:rPr>
          <w:rFonts w:ascii="Calibri" w:hAnsi="Calibri" w:cs="Calibri" w:eastAsia="Calibri"/>
          <w:b/>
          <w:color w:val="auto"/>
          <w:spacing w:val="0"/>
          <w:position w:val="0"/>
          <w:sz w:val="26"/>
          <w:shd w:fill="auto" w:val="clear"/>
        </w:rPr>
        <w:t xml:space="preserve">INTRODUCTION</w:t>
      </w:r>
    </w:p>
    <w:p>
      <w:pPr>
        <w:spacing w:before="0" w:after="160" w:line="240"/>
        <w:ind w:right="0" w:left="0" w:firstLine="0"/>
        <w:jc w:val="both"/>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Substance abuse in Nigeria dates back to prehistoric times when natural substances, that induce some form of inhibition in the limbic system and neuro- chemistry of the pre-frontal cortex of the brain, were consumed orally or nasally.</w:t>
      </w:r>
    </w:p>
    <w:p>
      <w:pPr>
        <w:spacing w:before="0" w:after="160" w:line="240"/>
        <w:ind w:right="0" w:left="0" w:firstLine="0"/>
        <w:jc w:val="both"/>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With advancement in age and science new pharmacologypic agents are discovered  to have  some pleasurable  effects on emotion, mood and genetal physical  activity of the body. Abuse of these substance which keep evolving daily has become a global burden.</w:t>
      </w:r>
    </w:p>
    <w:p>
      <w:pPr>
        <w:spacing w:before="0" w:after="160" w:line="240"/>
        <w:ind w:right="0" w:left="0" w:firstLine="0"/>
        <w:jc w:val="both"/>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Substance  Abuse by adolescents  in Nigeria and their negative consequences are becoming progressively  a major public health concern.</w:t>
      </w:r>
    </w:p>
    <w:p>
      <w:pPr>
        <w:spacing w:before="0" w:after="160" w:line="240"/>
        <w:ind w:right="0" w:left="0" w:firstLine="0"/>
        <w:jc w:val="left"/>
        <w:rPr>
          <w:rFonts w:ascii="Calibri" w:hAnsi="Calibri" w:cs="Calibri" w:eastAsia="Calibri"/>
          <w:color w:val="auto"/>
          <w:spacing w:val="0"/>
          <w:position w:val="0"/>
          <w:sz w:val="26"/>
          <w:shd w:fill="auto" w:val="clear"/>
        </w:rPr>
      </w:pPr>
      <w:r>
        <w:rPr>
          <w:rFonts w:ascii="Calibri" w:hAnsi="Calibri" w:cs="Calibri" w:eastAsia="Calibri"/>
          <w:b/>
          <w:color w:val="auto"/>
          <w:spacing w:val="0"/>
          <w:position w:val="0"/>
          <w:sz w:val="26"/>
          <w:shd w:fill="auto" w:val="clear"/>
        </w:rPr>
        <w:t xml:space="preserve">BACKGROUND </w:t>
      </w:r>
    </w:p>
    <w:p>
      <w:pPr>
        <w:spacing w:before="0" w:after="160" w:line="240"/>
        <w:ind w:right="0" w:left="0" w:firstLine="0"/>
        <w:jc w:val="both"/>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The rationale  for this work is based on the sku-rocketing  prevalence  of this menace among adolescent  boys in Nigeria  which is a maker of other harmful behaviours  that predispose them to unprotected  sexual intercourse, violence and other related crime.</w:t>
      </w:r>
    </w:p>
    <w:p>
      <w:pPr>
        <w:spacing w:before="0" w:after="160" w:line="240"/>
        <w:ind w:right="0" w:left="0" w:firstLine="0"/>
        <w:jc w:val="both"/>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On burdensome factor is the progressive decline in the age of initiation. Early initiation is often associated with poor progrosis and a life long pattern of irresponsible behaviour </w:t>
      </w:r>
    </w:p>
    <w:p>
      <w:pPr>
        <w:spacing w:before="0" w:after="160" w:line="240"/>
        <w:ind w:right="0" w:left="0" w:firstLine="0"/>
        <w:jc w:val="left"/>
        <w:rPr>
          <w:rFonts w:ascii="Calibri" w:hAnsi="Calibri" w:cs="Calibri" w:eastAsia="Calibri"/>
          <w:color w:val="auto"/>
          <w:spacing w:val="0"/>
          <w:position w:val="0"/>
          <w:sz w:val="26"/>
          <w:shd w:fill="auto" w:val="clear"/>
        </w:rPr>
      </w:pPr>
      <w:r>
        <w:rPr>
          <w:rFonts w:ascii="Calibri" w:hAnsi="Calibri" w:cs="Calibri" w:eastAsia="Calibri"/>
          <w:b/>
          <w:color w:val="auto"/>
          <w:spacing w:val="0"/>
          <w:position w:val="0"/>
          <w:sz w:val="26"/>
          <w:shd w:fill="auto" w:val="clear"/>
        </w:rPr>
        <w:t xml:space="preserve">STATEMENT OF PURPOSE</w:t>
      </w:r>
    </w:p>
    <w:p>
      <w:pPr>
        <w:numPr>
          <w:ilvl w:val="0"/>
          <w:numId w:val="7"/>
        </w:numPr>
        <w:spacing w:before="0" w:after="160" w:line="240"/>
        <w:ind w:right="0" w:left="720" w:hanging="360"/>
        <w:jc w:val="left"/>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This study aims to estimate the prevalence, various  substance used, socio-demographic risk factors,  source  of introduction of first  use and reasons  for substance abuse</w:t>
      </w:r>
    </w:p>
    <w:p>
      <w:pPr>
        <w:numPr>
          <w:ilvl w:val="0"/>
          <w:numId w:val="7"/>
        </w:numPr>
        <w:spacing w:before="0" w:after="160" w:line="240"/>
        <w:ind w:right="0" w:left="720" w:hanging="360"/>
        <w:jc w:val="left"/>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To elicit the minimal and pick age of initiation  at which intervention  might  prevent adolescent from starting the substance use</w:t>
      </w:r>
    </w:p>
    <w:p>
      <w:pPr>
        <w:spacing w:before="0" w:after="160" w:line="240"/>
        <w:ind w:right="0" w:left="0" w:firstLine="0"/>
        <w:jc w:val="left"/>
        <w:rPr>
          <w:rFonts w:ascii="Calibri" w:hAnsi="Calibri" w:cs="Calibri" w:eastAsia="Calibri"/>
          <w:b/>
          <w:color w:val="auto"/>
          <w:spacing w:val="0"/>
          <w:position w:val="0"/>
          <w:sz w:val="26"/>
          <w:shd w:fill="auto" w:val="clear"/>
        </w:rPr>
      </w:pPr>
      <w:r>
        <w:rPr>
          <w:rFonts w:ascii="Calibri" w:hAnsi="Calibri" w:cs="Calibri" w:eastAsia="Calibri"/>
          <w:b/>
          <w:color w:val="auto"/>
          <w:spacing w:val="0"/>
          <w:position w:val="0"/>
          <w:sz w:val="26"/>
          <w:shd w:fill="auto" w:val="clear"/>
        </w:rPr>
        <w:t xml:space="preserve">METHODOLOGY </w:t>
      </w:r>
    </w:p>
    <w:p>
      <w:pPr>
        <w:numPr>
          <w:ilvl w:val="0"/>
          <w:numId w:val="9"/>
        </w:numPr>
        <w:spacing w:before="0" w:after="160" w:line="240"/>
        <w:ind w:right="0" w:left="720" w:hanging="360"/>
        <w:jc w:val="left"/>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The cross sectional study was undertaken during 2016 to 2017, in public secondary and private secondary  schools located within Jos, Plateau State, Nigeria.</w:t>
      </w:r>
    </w:p>
    <w:p>
      <w:pPr>
        <w:numPr>
          <w:ilvl w:val="0"/>
          <w:numId w:val="9"/>
        </w:numPr>
        <w:spacing w:before="0" w:after="160" w:line="240"/>
        <w:ind w:right="0" w:left="720" w:hanging="360"/>
        <w:jc w:val="left"/>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The total population of male adolescent  (11 - 19 years) was 1,624 out of which 410 students were selected using probabiliy proportionate to size sampling  (PPS). Only 390 students cooperated in the study. The non-cooperation might be due to the stigma attached  to substance abuse in Nigeria. </w:t>
      </w:r>
    </w:p>
    <w:p>
      <w:pPr>
        <w:numPr>
          <w:ilvl w:val="0"/>
          <w:numId w:val="9"/>
        </w:numPr>
        <w:spacing w:before="0" w:after="160" w:line="240"/>
        <w:ind w:right="0" w:left="720" w:hanging="360"/>
        <w:jc w:val="left"/>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The sample size was calculated using the formula  sample size = (1.96)2PQ/L2, where prevalence </w:t>
        <w:br/>
        <w:t xml:space="preserve">P = 20%, Q = (1 - P ) absolute precision L = 4%</w:t>
      </w:r>
    </w:p>
    <w:p>
      <w:pPr>
        <w:numPr>
          <w:ilvl w:val="0"/>
          <w:numId w:val="9"/>
        </w:numPr>
        <w:spacing w:before="0" w:after="160" w:line="240"/>
        <w:ind w:right="0" w:left="720" w:hanging="360"/>
        <w:jc w:val="left"/>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Verbal consent of the school  principals was obtained and the study tools were self developed pre-tested questionnaires</w:t>
      </w:r>
    </w:p>
    <w:p>
      <w:pPr>
        <w:spacing w:before="0" w:after="160" w:line="240"/>
        <w:ind w:right="0" w:left="0" w:firstLine="0"/>
        <w:jc w:val="left"/>
        <w:rPr>
          <w:rFonts w:ascii="Calibri" w:hAnsi="Calibri" w:cs="Calibri" w:eastAsia="Calibri"/>
          <w:color w:val="auto"/>
          <w:spacing w:val="0"/>
          <w:position w:val="0"/>
          <w:sz w:val="26"/>
          <w:shd w:fill="auto" w:val="clear"/>
        </w:rPr>
      </w:pPr>
      <w:r>
        <w:rPr>
          <w:rFonts w:ascii="Calibri" w:hAnsi="Calibri" w:cs="Calibri" w:eastAsia="Calibri"/>
          <w:b/>
          <w:color w:val="auto"/>
          <w:spacing w:val="0"/>
          <w:position w:val="0"/>
          <w:sz w:val="26"/>
          <w:shd w:fill="auto" w:val="clear"/>
        </w:rPr>
        <w:t xml:space="preserve">RESULTS/ FINDINGS </w:t>
      </w:r>
    </w:p>
    <w:p>
      <w:pPr>
        <w:spacing w:before="0" w:after="160" w:line="240"/>
        <w:ind w:right="0" w:left="0" w:firstLine="0"/>
        <w:jc w:val="both"/>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Socio-demographic characteristics most of the study population was in their early and midterms 43.3% and 37.6% respectively. Prevalence  and pattern of substance abuse out of 392 male adolescents 54 (13.3%) adolescents (8.3%) occasional  and 5.3% regular user) we found to be into substance abuse. The percentage of the regular users increased with the age group of the adolescents (table 1) age of initiation of substance use: 1.8% of the adolescents assessed reported that the were initiated into the lifestyle at the age of 10 years. 78% were initiated at the age of 13 </w:t>
      </w:r>
      <w:r>
        <w:rPr>
          <w:rFonts w:ascii="Calibri" w:hAnsi="Calibri" w:cs="Calibri" w:eastAsia="Calibri"/>
          <w:color w:val="auto"/>
          <w:spacing w:val="0"/>
          <w:position w:val="0"/>
          <w:sz w:val="26"/>
          <w:shd w:fill="auto" w:val="clear"/>
        </w:rPr>
        <w:t xml:space="preserve">–</w:t>
      </w:r>
      <w:r>
        <w:rPr>
          <w:rFonts w:ascii="Calibri" w:hAnsi="Calibri" w:cs="Calibri" w:eastAsia="Calibri"/>
          <w:color w:val="auto"/>
          <w:spacing w:val="0"/>
          <w:position w:val="0"/>
          <w:sz w:val="26"/>
          <w:shd w:fill="auto" w:val="clear"/>
        </w:rPr>
        <w:t xml:space="preserve"> 15 years with a peak at 14 years of age (52.6%).</w:t>
      </w:r>
    </w:p>
    <w:p>
      <w:pPr>
        <w:spacing w:before="0" w:after="160" w:line="240"/>
        <w:ind w:right="0" w:left="0" w:firstLine="0"/>
        <w:jc w:val="both"/>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Reasons for substance use: 46.1% started the use of substance for fun, 43.3% peer pressure 8.9%  social status, 3.7 % relief of stress 3.1% habit</w:t>
      </w:r>
    </w:p>
    <w:tbl>
      <w:tblPr/>
      <w:tblGrid>
        <w:gridCol w:w="9016"/>
      </w:tblGrid>
      <w:tr>
        <w:trPr>
          <w:trHeight w:val="1" w:hRule="atLeast"/>
          <w:jc w:val="left"/>
        </w:trPr>
        <w:tc>
          <w:tcPr>
            <w:tcW w:w="9016" w:type="dxa"/>
            <w:tcBorders>
              <w:top w:val="single" w:color="ffffff" w:sz="4"/>
              <w:left w:val="single" w:color="ffffff" w:sz="4"/>
              <w:bottom w:val="single" w:color="ffffff" w:sz="4"/>
              <w:right w:val="single" w:color="ffffff" w:sz="4"/>
            </w:tcBorders>
            <w:shd w:color="auto" w:fill="d9e2f3" w:val="clear"/>
            <w:tcMar>
              <w:left w:w="108" w:type="dxa"/>
              <w:right w:w="108" w:type="dxa"/>
            </w:tcMar>
            <w:vAlign w:val="top"/>
          </w:tcPr>
          <w:tbl>
            <w:tblPr/>
            <w:tblGrid>
              <w:gridCol w:w="1980"/>
              <w:gridCol w:w="1453"/>
              <w:gridCol w:w="1843"/>
              <w:gridCol w:w="1559"/>
              <w:gridCol w:w="2658"/>
            </w:tblGrid>
            <w:tr>
              <w:trPr>
                <w:trHeight w:val="1" w:hRule="atLeast"/>
                <w:jc w:val="left"/>
              </w:trPr>
              <w:tc>
                <w:tcPr>
                  <w:tcW w:w="1980" w:type="dxa"/>
                  <w:tcBorders>
                    <w:top w:val="single" w:color="8eaadb" w:sz="2"/>
                    <w:left w:val="single" w:color="ffffff" w:sz="4"/>
                    <w:bottom w:val="single" w:color="8eaadb" w:sz="2"/>
                    <w:right w:val="single" w:color="ffffff" w:sz="4"/>
                  </w:tcBorders>
                  <w:shd w:color="auto" w:fill="d9e2f3"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rPr>
                  </w:pPr>
                  <w:r>
                    <w:rPr>
                      <w:rFonts w:ascii="Calibri" w:hAnsi="Calibri" w:cs="Calibri" w:eastAsia="Calibri"/>
                      <w:color w:val="auto"/>
                      <w:spacing w:val="0"/>
                      <w:position w:val="0"/>
                      <w:sz w:val="26"/>
                      <w:shd w:fill="auto" w:val="clear"/>
                    </w:rPr>
                    <w:t xml:space="preserve">Age Group</w:t>
                  </w:r>
                </w:p>
              </w:tc>
              <w:tc>
                <w:tcPr>
                  <w:tcW w:w="1453" w:type="dxa"/>
                  <w:tcBorders>
                    <w:top w:val="single" w:color="8eaadb" w:sz="2"/>
                    <w:left w:val="single" w:color="ffffff" w:sz="4"/>
                    <w:bottom w:val="single" w:color="8eaadb" w:sz="2"/>
                    <w:right w:val="single" w:color="ffffff" w:sz="4"/>
                  </w:tcBorders>
                  <w:shd w:color="auto" w:fill="d9e2f3"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rPr>
                  </w:pPr>
                  <w:r>
                    <w:rPr>
                      <w:rFonts w:ascii="Calibri" w:hAnsi="Calibri" w:cs="Calibri" w:eastAsia="Calibri"/>
                      <w:color w:val="auto"/>
                      <w:spacing w:val="0"/>
                      <w:position w:val="0"/>
                      <w:sz w:val="26"/>
                      <w:shd w:fill="auto" w:val="clear"/>
                    </w:rPr>
                    <w:t xml:space="preserve">Never Users N (%)</w:t>
                  </w:r>
                </w:p>
              </w:tc>
              <w:tc>
                <w:tcPr>
                  <w:tcW w:w="1843" w:type="dxa"/>
                  <w:tcBorders>
                    <w:top w:val="single" w:color="8eaadb" w:sz="2"/>
                    <w:left w:val="single" w:color="ffffff" w:sz="4"/>
                    <w:bottom w:val="single" w:color="8eaadb" w:sz="2"/>
                    <w:right w:val="single" w:color="ffffff" w:sz="4"/>
                  </w:tcBorders>
                  <w:shd w:color="auto" w:fill="d9e2f3"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rPr>
                  </w:pPr>
                  <w:r>
                    <w:rPr>
                      <w:rFonts w:ascii="Calibri" w:hAnsi="Calibri" w:cs="Calibri" w:eastAsia="Calibri"/>
                      <w:color w:val="auto"/>
                      <w:spacing w:val="0"/>
                      <w:position w:val="0"/>
                      <w:sz w:val="26"/>
                      <w:shd w:fill="auto" w:val="clear"/>
                    </w:rPr>
                    <w:t xml:space="preserve">Occasional Users N (%)</w:t>
                  </w:r>
                </w:p>
              </w:tc>
              <w:tc>
                <w:tcPr>
                  <w:tcW w:w="1559" w:type="dxa"/>
                  <w:tcBorders>
                    <w:top w:val="single" w:color="8eaadb" w:sz="2"/>
                    <w:left w:val="single" w:color="ffffff" w:sz="4"/>
                    <w:bottom w:val="single" w:color="8eaadb" w:sz="2"/>
                    <w:right w:val="single" w:color="ffffff" w:sz="4"/>
                  </w:tcBorders>
                  <w:shd w:color="auto" w:fill="d9e2f3"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rPr>
                  </w:pPr>
                  <w:r>
                    <w:rPr>
                      <w:rFonts w:ascii="Calibri" w:hAnsi="Calibri" w:cs="Calibri" w:eastAsia="Calibri"/>
                      <w:color w:val="auto"/>
                      <w:spacing w:val="0"/>
                      <w:position w:val="0"/>
                      <w:sz w:val="26"/>
                      <w:shd w:fill="auto" w:val="clear"/>
                    </w:rPr>
                    <w:t xml:space="preserve">Regular Users N (%)</w:t>
                  </w:r>
                </w:p>
              </w:tc>
              <w:tc>
                <w:tcPr>
                  <w:tcW w:w="2658" w:type="dxa"/>
                  <w:tcBorders>
                    <w:top w:val="single" w:color="8eaadb" w:sz="2"/>
                    <w:left w:val="single" w:color="ffffff" w:sz="4"/>
                    <w:bottom w:val="single" w:color="8eaadb" w:sz="2"/>
                    <w:right w:val="single" w:color="ffffff" w:sz="4"/>
                  </w:tcBorders>
                  <w:shd w:color="auto" w:fill="d9e2f3"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rPr>
                  </w:pPr>
                  <w:r>
                    <w:rPr>
                      <w:rFonts w:ascii="Calibri" w:hAnsi="Calibri" w:cs="Calibri" w:eastAsia="Calibri"/>
                      <w:color w:val="auto"/>
                      <w:spacing w:val="0"/>
                      <w:position w:val="0"/>
                      <w:sz w:val="26"/>
                      <w:shd w:fill="auto" w:val="clear"/>
                    </w:rPr>
                    <w:t xml:space="preserve">Total N (%)</w:t>
                  </w:r>
                </w:p>
              </w:tc>
            </w:tr>
            <w:tr>
              <w:trPr>
                <w:trHeight w:val="1" w:hRule="atLeast"/>
                <w:jc w:val="left"/>
              </w:trPr>
              <w:tc>
                <w:tcPr>
                  <w:tcW w:w="1980" w:type="dxa"/>
                  <w:tcBorders>
                    <w:top w:val="single" w:color="8eaadb" w:sz="2"/>
                    <w:left w:val="single" w:color="ffffff" w:sz="4"/>
                    <w:bottom w:val="single" w:color="8eaadb" w:sz="2"/>
                    <w:right w:val="single" w:color="ffffff" w:sz="4"/>
                  </w:tcBorders>
                  <w:shd w:color="auto" w:fill="d9e2f3"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rPr>
                  </w:pPr>
                  <w:r>
                    <w:rPr>
                      <w:rFonts w:ascii="Calibri" w:hAnsi="Calibri" w:cs="Calibri" w:eastAsia="Calibri"/>
                      <w:color w:val="auto"/>
                      <w:spacing w:val="0"/>
                      <w:position w:val="0"/>
                      <w:sz w:val="26"/>
                      <w:shd w:fill="auto" w:val="clear"/>
                    </w:rPr>
                    <w:t xml:space="preserve">10 </w:t>
                  </w:r>
                  <w:r>
                    <w:rPr>
                      <w:rFonts w:ascii="Calibri" w:hAnsi="Calibri" w:cs="Calibri" w:eastAsia="Calibri"/>
                      <w:color w:val="auto"/>
                      <w:spacing w:val="0"/>
                      <w:position w:val="0"/>
                      <w:sz w:val="26"/>
                      <w:shd w:fill="auto" w:val="clear"/>
                    </w:rPr>
                    <w:t xml:space="preserve">–</w:t>
                  </w:r>
                  <w:r>
                    <w:rPr>
                      <w:rFonts w:ascii="Calibri" w:hAnsi="Calibri" w:cs="Calibri" w:eastAsia="Calibri"/>
                      <w:color w:val="auto"/>
                      <w:spacing w:val="0"/>
                      <w:position w:val="0"/>
                      <w:sz w:val="26"/>
                      <w:shd w:fill="auto" w:val="clear"/>
                    </w:rPr>
                    <w:t xml:space="preserve"> 13 Years (Early Teens)</w:t>
                  </w:r>
                </w:p>
              </w:tc>
              <w:tc>
                <w:tcPr>
                  <w:tcW w:w="1453" w:type="dxa"/>
                  <w:tcBorders>
                    <w:top w:val="single" w:color="8eaadb" w:sz="2"/>
                    <w:left w:val="single" w:color="ffffff" w:sz="4"/>
                    <w:bottom w:val="single" w:color="8eaadb" w:sz="2"/>
                    <w:right w:val="single" w:color="ffffff" w:sz="4"/>
                  </w:tcBorders>
                  <w:shd w:color="auto" w:fill="d9e2f3"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rPr>
                  </w:pPr>
                  <w:r>
                    <w:rPr>
                      <w:rFonts w:ascii="Calibri" w:hAnsi="Calibri" w:cs="Calibri" w:eastAsia="Calibri"/>
                      <w:color w:val="auto"/>
                      <w:spacing w:val="0"/>
                      <w:position w:val="0"/>
                      <w:sz w:val="26"/>
                      <w:shd w:fill="auto" w:val="clear"/>
                    </w:rPr>
                    <w:t xml:space="preserve">157 (95.2)</w:t>
                  </w:r>
                </w:p>
              </w:tc>
              <w:tc>
                <w:tcPr>
                  <w:tcW w:w="1843" w:type="dxa"/>
                  <w:tcBorders>
                    <w:top w:val="single" w:color="8eaadb" w:sz="2"/>
                    <w:left w:val="single" w:color="ffffff" w:sz="4"/>
                    <w:bottom w:val="single" w:color="8eaadb" w:sz="2"/>
                    <w:right w:val="single" w:color="ffffff" w:sz="4"/>
                  </w:tcBorders>
                  <w:shd w:color="auto" w:fill="d9e2f3"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rPr>
                  </w:pPr>
                  <w:r>
                    <w:rPr>
                      <w:rFonts w:ascii="Calibri" w:hAnsi="Calibri" w:cs="Calibri" w:eastAsia="Calibri"/>
                      <w:color w:val="auto"/>
                      <w:spacing w:val="0"/>
                      <w:position w:val="0"/>
                      <w:sz w:val="26"/>
                      <w:shd w:fill="auto" w:val="clear"/>
                    </w:rPr>
                    <w:t xml:space="preserve">7 (4.2) </w:t>
                  </w:r>
                </w:p>
              </w:tc>
              <w:tc>
                <w:tcPr>
                  <w:tcW w:w="1559" w:type="dxa"/>
                  <w:tcBorders>
                    <w:top w:val="single" w:color="8eaadb" w:sz="2"/>
                    <w:left w:val="single" w:color="ffffff" w:sz="4"/>
                    <w:bottom w:val="single" w:color="8eaadb" w:sz="2"/>
                    <w:right w:val="single" w:color="ffffff" w:sz="4"/>
                  </w:tcBorders>
                  <w:shd w:color="auto" w:fill="d9e2f3"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rPr>
                  </w:pPr>
                  <w:r>
                    <w:rPr>
                      <w:rFonts w:ascii="Calibri" w:hAnsi="Calibri" w:cs="Calibri" w:eastAsia="Calibri"/>
                      <w:color w:val="auto"/>
                      <w:spacing w:val="0"/>
                      <w:position w:val="0"/>
                      <w:sz w:val="26"/>
                      <w:shd w:fill="auto" w:val="clear"/>
                    </w:rPr>
                    <w:t xml:space="preserve">1 (0.6)</w:t>
                  </w:r>
                </w:p>
              </w:tc>
              <w:tc>
                <w:tcPr>
                  <w:tcW w:w="2658" w:type="dxa"/>
                  <w:tcBorders>
                    <w:top w:val="single" w:color="8eaadb" w:sz="2"/>
                    <w:left w:val="single" w:color="ffffff" w:sz="4"/>
                    <w:bottom w:val="single" w:color="8eaadb" w:sz="2"/>
                    <w:right w:val="single" w:color="ffffff" w:sz="4"/>
                  </w:tcBorders>
                  <w:shd w:color="auto" w:fill="d9e2f3"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rPr>
                  </w:pPr>
                  <w:r>
                    <w:rPr>
                      <w:rFonts w:ascii="Calibri" w:hAnsi="Calibri" w:cs="Calibri" w:eastAsia="Calibri"/>
                      <w:color w:val="auto"/>
                      <w:spacing w:val="0"/>
                      <w:position w:val="0"/>
                      <w:sz w:val="26"/>
                      <w:shd w:fill="auto" w:val="clear"/>
                    </w:rPr>
                    <w:t xml:space="preserve">165 (100)</w:t>
                  </w:r>
                </w:p>
              </w:tc>
            </w:tr>
            <w:tr>
              <w:trPr>
                <w:trHeight w:val="1" w:hRule="atLeast"/>
                <w:jc w:val="left"/>
              </w:trPr>
              <w:tc>
                <w:tcPr>
                  <w:tcW w:w="1980" w:type="dxa"/>
                  <w:tcBorders>
                    <w:top w:val="single" w:color="8eaadb" w:sz="2"/>
                    <w:left w:val="single" w:color="ffffff" w:sz="4"/>
                    <w:bottom w:val="single" w:color="8eaadb" w:sz="2"/>
                    <w:right w:val="single" w:color="ffffff" w:sz="4"/>
                  </w:tcBorders>
                  <w:shd w:color="auto" w:fill="d9e2f3"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rPr>
                  </w:pPr>
                  <w:r>
                    <w:rPr>
                      <w:rFonts w:ascii="Calibri" w:hAnsi="Calibri" w:cs="Calibri" w:eastAsia="Calibri"/>
                      <w:color w:val="auto"/>
                      <w:spacing w:val="0"/>
                      <w:position w:val="0"/>
                      <w:sz w:val="26"/>
                      <w:shd w:fill="auto" w:val="clear"/>
                    </w:rPr>
                    <w:t xml:space="preserve">14 </w:t>
                  </w:r>
                  <w:r>
                    <w:rPr>
                      <w:rFonts w:ascii="Calibri" w:hAnsi="Calibri" w:cs="Calibri" w:eastAsia="Calibri"/>
                      <w:color w:val="auto"/>
                      <w:spacing w:val="0"/>
                      <w:position w:val="0"/>
                      <w:sz w:val="26"/>
                      <w:shd w:fill="auto" w:val="clear"/>
                    </w:rPr>
                    <w:t xml:space="preserve">–</w:t>
                  </w:r>
                  <w:r>
                    <w:rPr>
                      <w:rFonts w:ascii="Calibri" w:hAnsi="Calibri" w:cs="Calibri" w:eastAsia="Calibri"/>
                      <w:color w:val="auto"/>
                      <w:spacing w:val="0"/>
                      <w:position w:val="0"/>
                      <w:sz w:val="26"/>
                      <w:shd w:fill="auto" w:val="clear"/>
                    </w:rPr>
                    <w:t xml:space="preserve"> 15 Years (Mid Teens)</w:t>
                  </w:r>
                </w:p>
              </w:tc>
              <w:tc>
                <w:tcPr>
                  <w:tcW w:w="1453" w:type="dxa"/>
                  <w:tcBorders>
                    <w:top w:val="single" w:color="8eaadb" w:sz="2"/>
                    <w:left w:val="single" w:color="ffffff" w:sz="4"/>
                    <w:bottom w:val="single" w:color="8eaadb" w:sz="2"/>
                    <w:right w:val="single" w:color="ffffff" w:sz="4"/>
                  </w:tcBorders>
                  <w:shd w:color="auto" w:fill="d9e2f3"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rPr>
                  </w:pPr>
                  <w:r>
                    <w:rPr>
                      <w:rFonts w:ascii="Calibri" w:hAnsi="Calibri" w:cs="Calibri" w:eastAsia="Calibri"/>
                      <w:color w:val="auto"/>
                      <w:spacing w:val="0"/>
                      <w:position w:val="0"/>
                      <w:sz w:val="26"/>
                      <w:shd w:fill="auto" w:val="clear"/>
                    </w:rPr>
                    <w:t xml:space="preserve">112 (80.6)</w:t>
                  </w:r>
                </w:p>
              </w:tc>
              <w:tc>
                <w:tcPr>
                  <w:tcW w:w="1843" w:type="dxa"/>
                  <w:tcBorders>
                    <w:top w:val="single" w:color="8eaadb" w:sz="2"/>
                    <w:left w:val="single" w:color="ffffff" w:sz="4"/>
                    <w:bottom w:val="single" w:color="8eaadb" w:sz="2"/>
                    <w:right w:val="single" w:color="ffffff" w:sz="4"/>
                  </w:tcBorders>
                  <w:shd w:color="auto" w:fill="d9e2f3"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rPr>
                  </w:pPr>
                  <w:r>
                    <w:rPr>
                      <w:rFonts w:ascii="Calibri" w:hAnsi="Calibri" w:cs="Calibri" w:eastAsia="Calibri"/>
                      <w:color w:val="auto"/>
                      <w:spacing w:val="0"/>
                      <w:position w:val="0"/>
                      <w:sz w:val="26"/>
                      <w:shd w:fill="auto" w:val="clear"/>
                    </w:rPr>
                    <w:t xml:space="preserve">19 (13.7)</w:t>
                  </w:r>
                </w:p>
              </w:tc>
              <w:tc>
                <w:tcPr>
                  <w:tcW w:w="1559" w:type="dxa"/>
                  <w:tcBorders>
                    <w:top w:val="single" w:color="8eaadb" w:sz="2"/>
                    <w:left w:val="single" w:color="ffffff" w:sz="4"/>
                    <w:bottom w:val="single" w:color="8eaadb" w:sz="2"/>
                    <w:right w:val="single" w:color="ffffff" w:sz="4"/>
                  </w:tcBorders>
                  <w:shd w:color="auto" w:fill="d9e2f3"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rPr>
                  </w:pPr>
                  <w:r>
                    <w:rPr>
                      <w:rFonts w:ascii="Calibri" w:hAnsi="Calibri" w:cs="Calibri" w:eastAsia="Calibri"/>
                      <w:color w:val="auto"/>
                      <w:spacing w:val="0"/>
                      <w:position w:val="0"/>
                      <w:sz w:val="26"/>
                      <w:shd w:fill="auto" w:val="clear"/>
                    </w:rPr>
                    <w:t xml:space="preserve">8 (5.7)</w:t>
                  </w:r>
                </w:p>
              </w:tc>
              <w:tc>
                <w:tcPr>
                  <w:tcW w:w="2658" w:type="dxa"/>
                  <w:tcBorders>
                    <w:top w:val="single" w:color="8eaadb" w:sz="2"/>
                    <w:left w:val="single" w:color="ffffff" w:sz="4"/>
                    <w:bottom w:val="single" w:color="8eaadb" w:sz="2"/>
                    <w:right w:val="single" w:color="ffffff" w:sz="4"/>
                  </w:tcBorders>
                  <w:shd w:color="auto" w:fill="d9e2f3"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rPr>
                  </w:pPr>
                  <w:r>
                    <w:rPr>
                      <w:rFonts w:ascii="Calibri" w:hAnsi="Calibri" w:cs="Calibri" w:eastAsia="Calibri"/>
                      <w:color w:val="auto"/>
                      <w:spacing w:val="0"/>
                      <w:position w:val="0"/>
                      <w:sz w:val="26"/>
                      <w:shd w:fill="auto" w:val="clear"/>
                    </w:rPr>
                    <w:t xml:space="preserve">139 (100)</w:t>
                  </w:r>
                </w:p>
              </w:tc>
            </w:tr>
            <w:tr>
              <w:trPr>
                <w:trHeight w:val="1" w:hRule="atLeast"/>
                <w:jc w:val="left"/>
              </w:trPr>
              <w:tc>
                <w:tcPr>
                  <w:tcW w:w="1980" w:type="dxa"/>
                  <w:tcBorders>
                    <w:top w:val="single" w:color="8eaadb" w:sz="2"/>
                    <w:left w:val="single" w:color="ffffff" w:sz="4"/>
                    <w:bottom w:val="single" w:color="8eaadb" w:sz="2"/>
                    <w:right w:val="single" w:color="ffffff" w:sz="4"/>
                  </w:tcBorders>
                  <w:shd w:color="auto" w:fill="d9e2f3"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rPr>
                  </w:pPr>
                  <w:r>
                    <w:rPr>
                      <w:rFonts w:ascii="Calibri" w:hAnsi="Calibri" w:cs="Calibri" w:eastAsia="Calibri"/>
                      <w:color w:val="auto"/>
                      <w:spacing w:val="0"/>
                      <w:position w:val="0"/>
                      <w:sz w:val="26"/>
                      <w:shd w:fill="auto" w:val="clear"/>
                    </w:rPr>
                    <w:t xml:space="preserve">16 </w:t>
                  </w:r>
                  <w:r>
                    <w:rPr>
                      <w:rFonts w:ascii="Calibri" w:hAnsi="Calibri" w:cs="Calibri" w:eastAsia="Calibri"/>
                      <w:color w:val="auto"/>
                      <w:spacing w:val="0"/>
                      <w:position w:val="0"/>
                      <w:sz w:val="26"/>
                      <w:shd w:fill="auto" w:val="clear"/>
                    </w:rPr>
                    <w:t xml:space="preserve">–</w:t>
                  </w:r>
                  <w:r>
                    <w:rPr>
                      <w:rFonts w:ascii="Calibri" w:hAnsi="Calibri" w:cs="Calibri" w:eastAsia="Calibri"/>
                      <w:color w:val="auto"/>
                      <w:spacing w:val="0"/>
                      <w:position w:val="0"/>
                      <w:sz w:val="26"/>
                      <w:shd w:fill="auto" w:val="clear"/>
                    </w:rPr>
                    <w:t xml:space="preserve"> 19 Years (Late Teens)</w:t>
                  </w:r>
                </w:p>
              </w:tc>
              <w:tc>
                <w:tcPr>
                  <w:tcW w:w="1453" w:type="dxa"/>
                  <w:tcBorders>
                    <w:top w:val="single" w:color="8eaadb" w:sz="2"/>
                    <w:left w:val="single" w:color="ffffff" w:sz="4"/>
                    <w:bottom w:val="single" w:color="8eaadb" w:sz="2"/>
                    <w:right w:val="single" w:color="ffffff" w:sz="4"/>
                  </w:tcBorders>
                  <w:shd w:color="auto" w:fill="d9e2f3"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rPr>
                  </w:pPr>
                  <w:r>
                    <w:rPr>
                      <w:rFonts w:ascii="Calibri" w:hAnsi="Calibri" w:cs="Calibri" w:eastAsia="Calibri"/>
                      <w:color w:val="auto"/>
                      <w:spacing w:val="0"/>
                      <w:position w:val="0"/>
                      <w:sz w:val="26"/>
                      <w:shd w:fill="auto" w:val="clear"/>
                    </w:rPr>
                    <w:t xml:space="preserve">69 (80.2)</w:t>
                  </w:r>
                </w:p>
              </w:tc>
              <w:tc>
                <w:tcPr>
                  <w:tcW w:w="1843" w:type="dxa"/>
                  <w:tcBorders>
                    <w:top w:val="single" w:color="8eaadb" w:sz="2"/>
                    <w:left w:val="single" w:color="ffffff" w:sz="4"/>
                    <w:bottom w:val="single" w:color="8eaadb" w:sz="2"/>
                    <w:right w:val="single" w:color="ffffff" w:sz="4"/>
                  </w:tcBorders>
                  <w:shd w:color="auto" w:fill="d9e2f3"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rPr>
                  </w:pPr>
                  <w:r>
                    <w:rPr>
                      <w:rFonts w:ascii="Calibri" w:hAnsi="Calibri" w:cs="Calibri" w:eastAsia="Calibri"/>
                      <w:color w:val="auto"/>
                      <w:spacing w:val="0"/>
                      <w:position w:val="0"/>
                      <w:sz w:val="26"/>
                      <w:shd w:fill="auto" w:val="clear"/>
                    </w:rPr>
                    <w:t xml:space="preserve">6 (6.9)</w:t>
                  </w:r>
                </w:p>
              </w:tc>
              <w:tc>
                <w:tcPr>
                  <w:tcW w:w="1559" w:type="dxa"/>
                  <w:tcBorders>
                    <w:top w:val="single" w:color="8eaadb" w:sz="2"/>
                    <w:left w:val="single" w:color="ffffff" w:sz="4"/>
                    <w:bottom w:val="single" w:color="8eaadb" w:sz="2"/>
                    <w:right w:val="single" w:color="ffffff" w:sz="4"/>
                  </w:tcBorders>
                  <w:shd w:color="auto" w:fill="d9e2f3"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rPr>
                  </w:pPr>
                  <w:r>
                    <w:rPr>
                      <w:rFonts w:ascii="Calibri" w:hAnsi="Calibri" w:cs="Calibri" w:eastAsia="Calibri"/>
                      <w:color w:val="auto"/>
                      <w:spacing w:val="0"/>
                      <w:position w:val="0"/>
                      <w:sz w:val="26"/>
                      <w:shd w:fill="auto" w:val="clear"/>
                    </w:rPr>
                    <w:t xml:space="preserve">11 (12.8)</w:t>
                  </w:r>
                </w:p>
              </w:tc>
              <w:tc>
                <w:tcPr>
                  <w:tcW w:w="2658" w:type="dxa"/>
                  <w:tcBorders>
                    <w:top w:val="single" w:color="8eaadb" w:sz="2"/>
                    <w:left w:val="single" w:color="ffffff" w:sz="4"/>
                    <w:bottom w:val="single" w:color="8eaadb" w:sz="2"/>
                    <w:right w:val="single" w:color="ffffff" w:sz="4"/>
                  </w:tcBorders>
                  <w:shd w:color="auto" w:fill="d9e2f3"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rPr>
                  </w:pPr>
                  <w:r>
                    <w:rPr>
                      <w:rFonts w:ascii="Calibri" w:hAnsi="Calibri" w:cs="Calibri" w:eastAsia="Calibri"/>
                      <w:color w:val="auto"/>
                      <w:spacing w:val="0"/>
                      <w:position w:val="0"/>
                      <w:sz w:val="26"/>
                      <w:shd w:fill="auto" w:val="clear"/>
                    </w:rPr>
                    <w:t xml:space="preserve">86 (100)</w:t>
                  </w:r>
                </w:p>
              </w:tc>
            </w:tr>
            <w:tr>
              <w:trPr>
                <w:trHeight w:val="1" w:hRule="atLeast"/>
                <w:jc w:val="left"/>
              </w:trPr>
              <w:tc>
                <w:tcPr>
                  <w:tcW w:w="1980" w:type="dxa"/>
                  <w:tcBorders>
                    <w:top w:val="single" w:color="8eaadb" w:sz="2"/>
                    <w:left w:val="single" w:color="ffffff" w:sz="4"/>
                    <w:bottom w:val="single" w:color="8eaadb" w:sz="2"/>
                    <w:right w:val="single" w:color="ffffff" w:sz="4"/>
                  </w:tcBorders>
                  <w:shd w:color="auto" w:fill="d9e2f3"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rPr>
                  </w:pPr>
                  <w:r>
                    <w:rPr>
                      <w:rFonts w:ascii="Calibri" w:hAnsi="Calibri" w:cs="Calibri" w:eastAsia="Calibri"/>
                      <w:color w:val="auto"/>
                      <w:spacing w:val="0"/>
                      <w:position w:val="0"/>
                      <w:sz w:val="26"/>
                      <w:shd w:fill="auto" w:val="clear"/>
                    </w:rPr>
                    <w:t xml:space="preserve">Total</w:t>
                  </w:r>
                </w:p>
              </w:tc>
              <w:tc>
                <w:tcPr>
                  <w:tcW w:w="1453" w:type="dxa"/>
                  <w:tcBorders>
                    <w:top w:val="single" w:color="8eaadb" w:sz="2"/>
                    <w:left w:val="single" w:color="ffffff" w:sz="4"/>
                    <w:bottom w:val="single" w:color="8eaadb" w:sz="2"/>
                    <w:right w:val="single" w:color="ffffff" w:sz="4"/>
                  </w:tcBorders>
                  <w:shd w:color="auto" w:fill="d9e2f3"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rPr>
                  </w:pPr>
                  <w:r>
                    <w:rPr>
                      <w:rFonts w:ascii="Calibri" w:hAnsi="Calibri" w:cs="Calibri" w:eastAsia="Calibri"/>
                      <w:b/>
                      <w:color w:val="auto"/>
                      <w:spacing w:val="0"/>
                      <w:position w:val="0"/>
                      <w:sz w:val="26"/>
                      <w:shd w:fill="auto" w:val="clear"/>
                    </w:rPr>
                    <w:t xml:space="preserve">338 (86.6)</w:t>
                  </w:r>
                </w:p>
              </w:tc>
              <w:tc>
                <w:tcPr>
                  <w:tcW w:w="1843" w:type="dxa"/>
                  <w:tcBorders>
                    <w:top w:val="single" w:color="8eaadb" w:sz="2"/>
                    <w:left w:val="single" w:color="ffffff" w:sz="4"/>
                    <w:bottom w:val="single" w:color="8eaadb" w:sz="2"/>
                    <w:right w:val="single" w:color="ffffff" w:sz="4"/>
                  </w:tcBorders>
                  <w:shd w:color="auto" w:fill="d9e2f3"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rPr>
                  </w:pPr>
                  <w:r>
                    <w:rPr>
                      <w:rFonts w:ascii="Calibri" w:hAnsi="Calibri" w:cs="Calibri" w:eastAsia="Calibri"/>
                      <w:b/>
                      <w:color w:val="auto"/>
                      <w:spacing w:val="0"/>
                      <w:position w:val="0"/>
                      <w:sz w:val="26"/>
                      <w:shd w:fill="auto" w:val="clear"/>
                    </w:rPr>
                    <w:t xml:space="preserve">32 (8.2)</w:t>
                  </w:r>
                </w:p>
              </w:tc>
              <w:tc>
                <w:tcPr>
                  <w:tcW w:w="1559" w:type="dxa"/>
                  <w:tcBorders>
                    <w:top w:val="single" w:color="8eaadb" w:sz="2"/>
                    <w:left w:val="single" w:color="ffffff" w:sz="4"/>
                    <w:bottom w:val="single" w:color="8eaadb" w:sz="2"/>
                    <w:right w:val="single" w:color="ffffff" w:sz="4"/>
                  </w:tcBorders>
                  <w:shd w:color="auto" w:fill="d9e2f3"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rPr>
                  </w:pPr>
                  <w:r>
                    <w:rPr>
                      <w:rFonts w:ascii="Calibri" w:hAnsi="Calibri" w:cs="Calibri" w:eastAsia="Calibri"/>
                      <w:b/>
                      <w:color w:val="auto"/>
                      <w:spacing w:val="0"/>
                      <w:position w:val="0"/>
                      <w:sz w:val="26"/>
                      <w:shd w:fill="auto" w:val="clear"/>
                    </w:rPr>
                    <w:t xml:space="preserve">28 (5.1)</w:t>
                  </w:r>
                </w:p>
              </w:tc>
              <w:tc>
                <w:tcPr>
                  <w:tcW w:w="2658" w:type="dxa"/>
                  <w:tcBorders>
                    <w:top w:val="single" w:color="8eaadb" w:sz="2"/>
                    <w:left w:val="single" w:color="ffffff" w:sz="4"/>
                    <w:bottom w:val="single" w:color="8eaadb" w:sz="2"/>
                    <w:right w:val="single" w:color="ffffff" w:sz="4"/>
                  </w:tcBorders>
                  <w:shd w:color="auto" w:fill="d9e2f3"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rPr>
                  </w:pPr>
                  <w:r>
                    <w:rPr>
                      <w:rFonts w:ascii="Calibri" w:hAnsi="Calibri" w:cs="Calibri" w:eastAsia="Calibri"/>
                      <w:b/>
                      <w:color w:val="auto"/>
                      <w:spacing w:val="0"/>
                      <w:position w:val="0"/>
                      <w:sz w:val="26"/>
                      <w:shd w:fill="auto" w:val="clear"/>
                    </w:rPr>
                    <w:t xml:space="preserve">390 (100)</w:t>
                  </w:r>
                </w:p>
              </w:tc>
            </w:tr>
          </w:tbl>
          <w:p>
            <w:pPr>
              <w:spacing w:before="0" w:after="0" w:line="240"/>
              <w:ind w:right="0" w:left="0" w:firstLine="0"/>
              <w:jc w:val="left"/>
              <w:rPr>
                <w:rFonts w:ascii="Calibri" w:hAnsi="Calibri" w:cs="Calibri" w:eastAsia="Calibri"/>
                <w:color w:val="auto"/>
                <w:spacing w:val="0"/>
                <w:position w:val="0"/>
              </w:rPr>
            </w:pPr>
          </w:p>
        </w:tc>
      </w:tr>
    </w:tbl>
    <w:p>
      <w:pPr>
        <w:spacing w:before="0" w:after="160" w:line="240"/>
        <w:ind w:right="0" w:left="0" w:firstLine="0"/>
        <w:jc w:val="left"/>
        <w:rPr>
          <w:rFonts w:ascii="Calibri" w:hAnsi="Calibri" w:cs="Calibri" w:eastAsia="Calibri"/>
          <w:b/>
          <w:color w:val="auto"/>
          <w:spacing w:val="0"/>
          <w:position w:val="0"/>
          <w:sz w:val="26"/>
          <w:shd w:fill="auto" w:val="clear"/>
        </w:rPr>
      </w:pPr>
    </w:p>
    <w:p>
      <w:pPr>
        <w:spacing w:before="0" w:after="160" w:line="240"/>
        <w:ind w:right="0" w:left="0" w:firstLine="0"/>
        <w:jc w:val="left"/>
        <w:rPr>
          <w:rFonts w:ascii="Calibri" w:hAnsi="Calibri" w:cs="Calibri" w:eastAsia="Calibri"/>
          <w:b/>
          <w:color w:val="auto"/>
          <w:spacing w:val="0"/>
          <w:position w:val="0"/>
          <w:sz w:val="26"/>
          <w:shd w:fill="auto" w:val="clear"/>
        </w:rPr>
      </w:pPr>
      <w:r>
        <w:rPr>
          <w:rFonts w:ascii="Calibri" w:hAnsi="Calibri" w:cs="Calibri" w:eastAsia="Calibri"/>
          <w:b/>
          <w:color w:val="auto"/>
          <w:spacing w:val="0"/>
          <w:position w:val="0"/>
          <w:sz w:val="26"/>
          <w:shd w:fill="auto" w:val="clear"/>
        </w:rPr>
        <w:t xml:space="preserve">CONCLUSION </w:t>
      </w:r>
    </w:p>
    <w:p>
      <w:pPr>
        <w:spacing w:before="0" w:after="160" w:line="240"/>
        <w:ind w:right="0" w:left="0" w:firstLine="0"/>
        <w:jc w:val="both"/>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From the sample space of this study, male adolescents above knowledge of the extent of the problem and socio-demographic risk factor is essential to devise effective strategies against substance use community based interventions with peer approach to counter peer pressure and commitment to implementing and sustaining such programs by individuals, families, religious bodies, government agencies like NDLEA, NERDC and International agencies like UNODC should be a national emergency.</w:t>
      </w:r>
    </w:p>
    <w:p>
      <w:pPr>
        <w:spacing w:before="0" w:after="160" w:line="240"/>
        <w:ind w:right="0" w:left="0" w:firstLine="0"/>
        <w:jc w:val="left"/>
        <w:rPr>
          <w:rFonts w:ascii="Calibri" w:hAnsi="Calibri" w:cs="Calibri" w:eastAsia="Calibri"/>
          <w:color w:val="auto"/>
          <w:spacing w:val="0"/>
          <w:position w:val="0"/>
          <w:sz w:val="26"/>
          <w:shd w:fill="auto" w:val="clear"/>
        </w:rPr>
      </w:pPr>
      <w:r>
        <w:rPr>
          <w:rFonts w:ascii="Calibri" w:hAnsi="Calibri" w:cs="Calibri" w:eastAsia="Calibri"/>
          <w:b/>
          <w:color w:val="auto"/>
          <w:spacing w:val="0"/>
          <w:position w:val="0"/>
          <w:sz w:val="26"/>
          <w:shd w:fill="auto" w:val="clear"/>
        </w:rPr>
        <w:t xml:space="preserve">REFERENCE </w:t>
      </w:r>
    </w:p>
    <w:p>
      <w:pPr>
        <w:numPr>
          <w:ilvl w:val="0"/>
          <w:numId w:val="31"/>
        </w:numPr>
        <w:spacing w:before="0" w:after="160" w:line="240"/>
        <w:ind w:right="0" w:left="720" w:hanging="360"/>
        <w:jc w:val="left"/>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ATLAS of substance  Abuse disorder, world health organization 2010 </w:t>
      </w:r>
    </w:p>
    <w:p>
      <w:pPr>
        <w:numPr>
          <w:ilvl w:val="0"/>
          <w:numId w:val="31"/>
        </w:numPr>
        <w:spacing w:before="0" w:after="160" w:line="240"/>
        <w:ind w:right="0" w:left="720" w:hanging="360"/>
        <w:jc w:val="left"/>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United Nations office on Drugs and Crime (2007). Drug abuse and Drug dependence treatment situation, in Nigeria. According to UNODC data for the year 2007. Available at </w:t>
      </w:r>
      <w:hyperlink xmlns:r="http://schemas.openxmlformats.org/officeDocument/2006/relationships" r:id="docRId0">
        <w:r>
          <w:rPr>
            <w:rFonts w:ascii="Calibri" w:hAnsi="Calibri" w:cs="Calibri" w:eastAsia="Calibri"/>
            <w:color w:val="0000FF"/>
            <w:spacing w:val="0"/>
            <w:position w:val="0"/>
            <w:sz w:val="26"/>
            <w:u w:val="single"/>
            <w:shd w:fill="auto" w:val="clear"/>
          </w:rPr>
          <w:t xml:space="preserve">http://www.unodc.org/focs/treatment/CoPro/Web_Nigeria.pdf</w:t>
        </w:r>
      </w:hyperlink>
    </w:p>
    <w:p>
      <w:pPr>
        <w:numPr>
          <w:ilvl w:val="0"/>
          <w:numId w:val="31"/>
        </w:numPr>
        <w:spacing w:before="0" w:after="160" w:line="240"/>
        <w:ind w:right="0" w:left="720" w:hanging="360"/>
        <w:jc w:val="left"/>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National Drug Law Enforcement Agency. (2009). Drug Free Club. Retrived from </w:t>
      </w:r>
      <w:hyperlink xmlns:r="http://schemas.openxmlformats.org/officeDocument/2006/relationships" r:id="docRId1">
        <w:r>
          <w:rPr>
            <w:rFonts w:ascii="Calibri" w:hAnsi="Calibri" w:cs="Calibri" w:eastAsia="Calibri"/>
            <w:color w:val="0000FF"/>
            <w:spacing w:val="0"/>
            <w:position w:val="0"/>
            <w:sz w:val="26"/>
            <w:u w:val="single"/>
            <w:shd w:fill="auto" w:val="clear"/>
          </w:rPr>
          <w:t xml:space="preserve">http://www.NDLEA.gov.ng/v1/?q=content/drug-free-club</w:t>
        </w:r>
      </w:hyperlink>
    </w:p>
    <w:p>
      <w:pPr>
        <w:numPr>
          <w:ilvl w:val="0"/>
          <w:numId w:val="31"/>
        </w:numPr>
        <w:spacing w:before="0" w:after="160" w:line="240"/>
        <w:ind w:right="0" w:left="720" w:hanging="360"/>
        <w:jc w:val="left"/>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Abudu, R.V. (2008). Young People and Drug Abuse: Biennial International Conference on alcohol, drugs and society in Africa, Abuja, Nigeria. Between 23</w:t>
      </w:r>
      <w:r>
        <w:rPr>
          <w:rFonts w:ascii="Calibri" w:hAnsi="Calibri" w:cs="Calibri" w:eastAsia="Calibri"/>
          <w:color w:val="auto"/>
          <w:spacing w:val="0"/>
          <w:position w:val="0"/>
          <w:sz w:val="26"/>
          <w:shd w:fill="auto" w:val="clear"/>
          <w:vertAlign w:val="superscript"/>
        </w:rPr>
        <w:t xml:space="preserve">rd</w:t>
      </w:r>
      <w:r>
        <w:rPr>
          <w:rFonts w:ascii="Calibri" w:hAnsi="Calibri" w:cs="Calibri" w:eastAsia="Calibri"/>
          <w:color w:val="auto"/>
          <w:spacing w:val="0"/>
          <w:position w:val="0"/>
          <w:sz w:val="26"/>
          <w:shd w:fill="auto" w:val="clear"/>
        </w:rPr>
        <w:t xml:space="preserve"> - 25</w:t>
      </w:r>
      <w:r>
        <w:rPr>
          <w:rFonts w:ascii="Calibri" w:hAnsi="Calibri" w:cs="Calibri" w:eastAsia="Calibri"/>
          <w:color w:val="auto"/>
          <w:spacing w:val="0"/>
          <w:position w:val="0"/>
          <w:sz w:val="26"/>
          <w:shd w:fill="auto" w:val="clear"/>
          <w:vertAlign w:val="superscript"/>
        </w:rPr>
        <w:t xml:space="preserve">th</w:t>
      </w:r>
      <w:r>
        <w:rPr>
          <w:rFonts w:ascii="Calibri" w:hAnsi="Calibri" w:cs="Calibri" w:eastAsia="Calibri"/>
          <w:color w:val="auto"/>
          <w:spacing w:val="0"/>
          <w:position w:val="0"/>
          <w:sz w:val="26"/>
          <w:shd w:fill="auto" w:val="clear"/>
        </w:rPr>
        <w:t xml:space="preserve"> , 2008.</w:t>
      </w:r>
    </w:p>
    <w:p>
      <w:pPr>
        <w:spacing w:before="0" w:after="160" w:line="240"/>
        <w:ind w:right="0" w:left="720" w:firstLine="0"/>
        <w:jc w:val="left"/>
        <w:rPr>
          <w:rFonts w:ascii="Calibri" w:hAnsi="Calibri" w:cs="Calibri" w:eastAsia="Calibri"/>
          <w:color w:val="auto"/>
          <w:spacing w:val="0"/>
          <w:position w:val="0"/>
          <w:sz w:val="26"/>
          <w:shd w:fill="auto" w:val="clear"/>
        </w:rPr>
      </w:pPr>
    </w:p>
    <w:p>
      <w:pPr>
        <w:spacing w:before="0" w:after="160" w:line="240"/>
        <w:ind w:right="0" w:left="0" w:firstLine="0"/>
        <w:jc w:val="left"/>
        <w:rPr>
          <w:rFonts w:ascii="Calibri" w:hAnsi="Calibri" w:cs="Calibri" w:eastAsia="Calibri"/>
          <w:color w:val="auto"/>
          <w:spacing w:val="0"/>
          <w:position w:val="0"/>
          <w:sz w:val="26"/>
          <w:shd w:fill="auto" w:val="clear"/>
        </w:rPr>
      </w:pPr>
    </w:p>
  </w:body>
</w:document>
</file>

<file path=word/numbering.xml><?xml version="1.0" encoding="utf-8"?>
<w:numbering xmlns:w="http://schemas.openxmlformats.org/wordprocessingml/2006/main">
  <w:abstractNum w:abstractNumId="4">
    <w:lvl w:ilvl="0">
      <w:start w:val="1"/>
      <w:numFmt w:val="lowerRoman"/>
      <w:lvlText w:val="%1."/>
    </w:lvl>
  </w:abstractNum>
  <w:abstractNum w:abstractNumId="10">
    <w:lvl w:ilvl="0">
      <w:start w:val="1"/>
      <w:numFmt w:val="lowerRoman"/>
      <w:lvlText w:val="%1."/>
    </w:lvl>
  </w:abstractNum>
  <w:abstractNum w:abstractNumId="0">
    <w:lvl w:ilvl="0">
      <w:start w:val="1"/>
      <w:numFmt w:val="bullet"/>
      <w:lvlText w:val="•"/>
    </w:lvl>
  </w:abstractNum>
  <w:num w:numId="7">
    <w:abstractNumId w:val="10"/>
  </w:num>
  <w:num w:numId="9">
    <w:abstractNumId w:val="4"/>
  </w:num>
  <w:num w:numId="31">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www.unodc.org/focs/treatment/CoPro/Web_Nigeria.pdf" Id="docRId0" Type="http://schemas.openxmlformats.org/officeDocument/2006/relationships/hyperlink" /><Relationship TargetMode="External" Target="http://www.ndlea.gov.ng/v1/?q=content/drug-free-club" Id="docRId1" Type="http://schemas.openxmlformats.org/officeDocument/2006/relationships/hyperlink" /><Relationship Target="numbering.xml" Id="docRId2" Type="http://schemas.openxmlformats.org/officeDocument/2006/relationships/numbering" /><Relationship Target="styles.xml" Id="docRId3" Type="http://schemas.openxmlformats.org/officeDocument/2006/relationships/styles" /></Relationships>
</file>