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97078" w14:textId="0C7F5954" w:rsidR="00A0207A" w:rsidRDefault="00FE5B1D" w:rsidP="00FE5B1D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Presentation on:</w:t>
      </w:r>
    </w:p>
    <w:p w14:paraId="7C0C62E3" w14:textId="77777777" w:rsidR="00A0207A" w:rsidRPr="0066689D" w:rsidRDefault="00A0207A" w:rsidP="00A0207A">
      <w:pPr>
        <w:jc w:val="center"/>
        <w:rPr>
          <w:rFonts w:asciiTheme="majorBidi" w:hAnsiTheme="majorBidi" w:cstheme="majorBidi"/>
          <w:b/>
          <w:bCs/>
        </w:rPr>
      </w:pPr>
    </w:p>
    <w:p w14:paraId="1E309482" w14:textId="11197561" w:rsidR="00A0207A" w:rsidRPr="00156B49" w:rsidRDefault="00FE5B1D" w:rsidP="00156B49">
      <w:pPr>
        <w:tabs>
          <w:tab w:val="left" w:pos="2774"/>
        </w:tabs>
        <w:jc w:val="center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Alcohol a</w:t>
      </w:r>
      <w:r w:rsidRPr="00D6654D">
        <w:rPr>
          <w:rFonts w:asciiTheme="majorBidi" w:hAnsiTheme="majorBidi" w:cstheme="majorBidi"/>
          <w:color w:val="000000" w:themeColor="text1"/>
        </w:rPr>
        <w:t>nd Substance Use Knowledge, Attitudes, Subjective Norms, Self-Efficacy, Perceived Behavioral Control</w:t>
      </w:r>
      <w:r>
        <w:rPr>
          <w:rFonts w:asciiTheme="majorBidi" w:hAnsiTheme="majorBidi" w:cstheme="majorBidi"/>
          <w:color w:val="000000" w:themeColor="text1"/>
        </w:rPr>
        <w:t>,</w:t>
      </w:r>
      <w:r w:rsidRPr="00D6654D">
        <w:rPr>
          <w:rFonts w:asciiTheme="majorBidi" w:hAnsiTheme="majorBidi" w:cstheme="majorBidi"/>
          <w:color w:val="000000" w:themeColor="text1"/>
        </w:rPr>
        <w:t xml:space="preserve"> And Behavioral Intentions Among Omani College Students</w:t>
      </w:r>
    </w:p>
    <w:p w14:paraId="18B8D2B2" w14:textId="77777777" w:rsidR="00156B49" w:rsidRDefault="00156B49" w:rsidP="00FE5B1D">
      <w:pPr>
        <w:tabs>
          <w:tab w:val="left" w:pos="2774"/>
        </w:tabs>
        <w:rPr>
          <w:rFonts w:asciiTheme="majorBidi" w:hAnsiTheme="majorBidi" w:cstheme="majorBidi"/>
          <w:b/>
          <w:bCs/>
          <w:color w:val="000000" w:themeColor="text1"/>
        </w:rPr>
      </w:pPr>
    </w:p>
    <w:p w14:paraId="48BE012A" w14:textId="2827A928" w:rsidR="00A0207A" w:rsidRPr="00D6654D" w:rsidRDefault="00FE5B1D" w:rsidP="00FE5B1D">
      <w:pPr>
        <w:tabs>
          <w:tab w:val="left" w:pos="2774"/>
        </w:tabs>
        <w:rPr>
          <w:rFonts w:asciiTheme="majorBidi" w:hAnsiTheme="majorBidi" w:cstheme="majorBidi"/>
          <w:color w:val="000000" w:themeColor="text1"/>
        </w:rPr>
      </w:pPr>
      <w:r w:rsidRPr="00FE5B1D">
        <w:rPr>
          <w:rFonts w:asciiTheme="majorBidi" w:hAnsiTheme="majorBidi" w:cstheme="majorBidi"/>
          <w:b/>
          <w:bCs/>
          <w:color w:val="000000" w:themeColor="text1"/>
        </w:rPr>
        <w:t>Name: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="00A0207A" w:rsidRPr="00D6654D">
        <w:rPr>
          <w:rFonts w:asciiTheme="majorBidi" w:hAnsiTheme="majorBidi" w:cstheme="majorBidi"/>
          <w:color w:val="000000" w:themeColor="text1"/>
        </w:rPr>
        <w:t xml:space="preserve">Muna Shaaban </w:t>
      </w:r>
      <w:r>
        <w:rPr>
          <w:rFonts w:asciiTheme="majorBidi" w:hAnsiTheme="majorBidi" w:cstheme="majorBidi"/>
          <w:color w:val="000000" w:themeColor="text1"/>
        </w:rPr>
        <w:t xml:space="preserve">Bait </w:t>
      </w:r>
      <w:r w:rsidR="00A0207A" w:rsidRPr="00D6654D">
        <w:rPr>
          <w:rFonts w:asciiTheme="majorBidi" w:hAnsiTheme="majorBidi" w:cstheme="majorBidi"/>
          <w:color w:val="000000" w:themeColor="text1"/>
        </w:rPr>
        <w:t>Ajzoon</w:t>
      </w:r>
    </w:p>
    <w:p w14:paraId="7917FBE6" w14:textId="697A3A3F" w:rsidR="00FE5B1D" w:rsidRPr="00156B49" w:rsidRDefault="00A0207A" w:rsidP="00156B49">
      <w:pPr>
        <w:tabs>
          <w:tab w:val="left" w:pos="2774"/>
        </w:tabs>
        <w:rPr>
          <w:rFonts w:asciiTheme="majorBidi" w:hAnsiTheme="majorBidi" w:cstheme="majorBidi"/>
          <w:i/>
          <w:iCs/>
          <w:color w:val="000000" w:themeColor="text1"/>
        </w:rPr>
      </w:pPr>
      <w:r w:rsidRPr="00FE5B1D">
        <w:rPr>
          <w:rFonts w:asciiTheme="majorBidi" w:hAnsiTheme="majorBidi" w:cstheme="majorBidi"/>
          <w:i/>
          <w:iCs/>
          <w:color w:val="000000" w:themeColor="text1"/>
        </w:rPr>
        <w:t>Old Dominion University</w:t>
      </w:r>
      <w:r w:rsidR="00FE5B1D" w:rsidRPr="00FE5B1D">
        <w:rPr>
          <w:rFonts w:asciiTheme="majorBidi" w:hAnsiTheme="majorBidi" w:cstheme="majorBidi"/>
          <w:i/>
          <w:iCs/>
          <w:color w:val="000000" w:themeColor="text1"/>
        </w:rPr>
        <w:t>, USA</w:t>
      </w:r>
    </w:p>
    <w:p w14:paraId="0577C2F2" w14:textId="77777777" w:rsidR="00156B49" w:rsidRDefault="00156B49" w:rsidP="00FE5B1D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5CD50CAF" w14:textId="780F2C00" w:rsidR="00A0207A" w:rsidRPr="00FE5B1D" w:rsidRDefault="00FE5B1D" w:rsidP="00FE5B1D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FE5B1D">
        <w:rPr>
          <w:rFonts w:asciiTheme="majorBidi" w:hAnsiTheme="majorBidi" w:cstheme="majorBidi"/>
          <w:b/>
          <w:bCs/>
          <w:color w:val="000000" w:themeColor="text1"/>
        </w:rPr>
        <w:t>Abstract</w:t>
      </w:r>
    </w:p>
    <w:p w14:paraId="405D1610" w14:textId="5F913664" w:rsidR="00A0207A" w:rsidRPr="00FE5B1D" w:rsidRDefault="00A0207A" w:rsidP="00FE5B1D">
      <w:pPr>
        <w:widowControl w:val="0"/>
        <w:autoSpaceDE w:val="0"/>
        <w:autoSpaceDN w:val="0"/>
        <w:adjustRightInd w:val="0"/>
        <w:ind w:firstLine="720"/>
        <w:rPr>
          <w:rFonts w:asciiTheme="majorBidi" w:hAnsiTheme="majorBidi" w:cstheme="majorBidi"/>
          <w:b/>
          <w:bCs/>
          <w:i/>
          <w:iCs/>
          <w:color w:val="000000"/>
        </w:rPr>
      </w:pPr>
      <w:r w:rsidRPr="00D6654D">
        <w:rPr>
          <w:rFonts w:asciiTheme="majorBidi" w:hAnsiTheme="majorBidi" w:cstheme="majorBidi"/>
        </w:rPr>
        <w:t xml:space="preserve">Alcohol and/or substance use among college students is a serious public health issue. In Oman, studies addressing college student’s alcohol and/or substance use are limited. </w:t>
      </w:r>
      <w:r w:rsidR="00FE5B1D" w:rsidRPr="00FE5B1D">
        <w:rPr>
          <w:rFonts w:asciiTheme="majorBidi" w:hAnsiTheme="majorBidi" w:cstheme="majorBidi"/>
          <w:b/>
          <w:bCs/>
          <w:i/>
          <w:iCs/>
          <w:color w:val="000000"/>
        </w:rPr>
        <w:t>Study purpose:</w:t>
      </w:r>
      <w:r w:rsidR="00FE5B1D">
        <w:rPr>
          <w:rFonts w:asciiTheme="majorBidi" w:hAnsiTheme="majorBidi" w:cstheme="majorBidi"/>
          <w:color w:val="000000"/>
        </w:rPr>
        <w:t xml:space="preserve"> to </w:t>
      </w:r>
      <w:r w:rsidRPr="00D6654D">
        <w:rPr>
          <w:rFonts w:asciiTheme="majorBidi" w:hAnsiTheme="majorBidi" w:cstheme="majorBidi"/>
          <w:color w:val="000000"/>
        </w:rPr>
        <w:t>identify knowledge, attitudes, subjective norms, self-efficacy</w:t>
      </w:r>
      <w:r>
        <w:rPr>
          <w:rFonts w:asciiTheme="majorBidi" w:hAnsiTheme="majorBidi" w:cstheme="majorBidi"/>
          <w:color w:val="000000"/>
        </w:rPr>
        <w:t>,</w:t>
      </w:r>
      <w:r w:rsidRPr="00D6654D">
        <w:rPr>
          <w:rFonts w:asciiTheme="majorBidi" w:hAnsiTheme="majorBidi" w:cstheme="majorBidi"/>
          <w:color w:val="000000"/>
        </w:rPr>
        <w:t xml:space="preserve"> and perceived behavioral control associated with alcohol and/or substance usage patterns among Omani college students (OCSs)</w:t>
      </w:r>
      <w:r>
        <w:rPr>
          <w:rFonts w:asciiTheme="majorBidi" w:hAnsiTheme="majorBidi" w:cstheme="majorBidi"/>
          <w:color w:val="000000"/>
        </w:rPr>
        <w:t>;</w:t>
      </w:r>
      <w:r w:rsidRPr="00D6654D">
        <w:rPr>
          <w:rFonts w:asciiTheme="majorBidi" w:hAnsiTheme="majorBidi" w:cstheme="majorBidi"/>
          <w:color w:val="000000"/>
        </w:rPr>
        <w:t xml:space="preserve"> identify behavioral intentions for alcohol and/or substance use among OCSs</w:t>
      </w:r>
      <w:r w:rsidR="00FE5B1D">
        <w:rPr>
          <w:rFonts w:asciiTheme="majorBidi" w:hAnsiTheme="majorBidi" w:cstheme="majorBidi"/>
          <w:color w:val="000000"/>
        </w:rPr>
        <w:t xml:space="preserve">. </w:t>
      </w:r>
      <w:r w:rsidR="00FE5B1D" w:rsidRPr="00FE5B1D">
        <w:rPr>
          <w:rFonts w:asciiTheme="majorBidi" w:hAnsiTheme="majorBidi" w:cstheme="majorBidi"/>
          <w:b/>
          <w:bCs/>
          <w:i/>
          <w:iCs/>
        </w:rPr>
        <w:t>Study design:</w:t>
      </w:r>
      <w:r w:rsidR="00FE5B1D"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 xml:space="preserve">cross-sectional online </w:t>
      </w:r>
      <w:r>
        <w:rPr>
          <w:rFonts w:asciiTheme="majorBidi" w:hAnsiTheme="majorBidi" w:cstheme="majorBidi"/>
        </w:rPr>
        <w:t>survey</w:t>
      </w:r>
      <w:r w:rsidRPr="00AA14BA"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 xml:space="preserve">completed by college students from Oman </w:t>
      </w:r>
      <w:r>
        <w:rPr>
          <w:rFonts w:asciiTheme="majorBidi" w:hAnsiTheme="majorBidi" w:cstheme="majorBidi"/>
        </w:rPr>
        <w:t>hi</w:t>
      </w:r>
      <w:r w:rsidRPr="00D6654D">
        <w:rPr>
          <w:rFonts w:asciiTheme="majorBidi" w:hAnsiTheme="majorBidi" w:cstheme="majorBidi"/>
        </w:rPr>
        <w:t xml:space="preserve">gher </w:t>
      </w:r>
      <w:r>
        <w:rPr>
          <w:rFonts w:asciiTheme="majorBidi" w:hAnsiTheme="majorBidi" w:cstheme="majorBidi"/>
        </w:rPr>
        <w:t>e</w:t>
      </w:r>
      <w:r w:rsidRPr="00D6654D">
        <w:rPr>
          <w:rFonts w:asciiTheme="majorBidi" w:hAnsiTheme="majorBidi" w:cstheme="majorBidi"/>
        </w:rPr>
        <w:t xml:space="preserve">ducation </w:t>
      </w:r>
      <w:r>
        <w:rPr>
          <w:rFonts w:asciiTheme="majorBidi" w:hAnsiTheme="majorBidi" w:cstheme="majorBidi"/>
        </w:rPr>
        <w:t>i</w:t>
      </w:r>
      <w:r w:rsidRPr="00D6654D">
        <w:rPr>
          <w:rFonts w:asciiTheme="majorBidi" w:hAnsiTheme="majorBidi" w:cstheme="majorBidi"/>
        </w:rPr>
        <w:t xml:space="preserve">nstitutes (HEIs) in </w:t>
      </w:r>
      <w:r>
        <w:rPr>
          <w:rFonts w:asciiTheme="majorBidi" w:hAnsiTheme="majorBidi" w:cstheme="majorBidi"/>
        </w:rPr>
        <w:t>academic year</w:t>
      </w:r>
      <w:r w:rsidRPr="00D6654D">
        <w:rPr>
          <w:rFonts w:asciiTheme="majorBidi" w:hAnsiTheme="majorBidi" w:cstheme="majorBidi"/>
        </w:rPr>
        <w:t xml:space="preserve"> 2016-2017.</w:t>
      </w:r>
      <w:r>
        <w:rPr>
          <w:rFonts w:asciiTheme="majorBidi" w:hAnsiTheme="majorBidi" w:cstheme="majorBidi"/>
        </w:rPr>
        <w:t xml:space="preserve"> The survey was</w:t>
      </w:r>
      <w:r w:rsidRPr="00D6654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guided by theory of planned behavior (TPB) constructs. </w:t>
      </w:r>
      <w:r w:rsidR="00FE5B1D" w:rsidRPr="00FE5B1D">
        <w:rPr>
          <w:rFonts w:asciiTheme="majorBidi" w:hAnsiTheme="majorBidi" w:cstheme="majorBidi"/>
          <w:b/>
          <w:bCs/>
          <w:i/>
          <w:iCs/>
        </w:rPr>
        <w:t xml:space="preserve">Study sample: </w:t>
      </w:r>
      <w:r w:rsidR="00FE5B1D">
        <w:rPr>
          <w:rFonts w:asciiTheme="majorBidi" w:hAnsiTheme="majorBidi" w:cstheme="majorBidi"/>
          <w:color w:val="000000" w:themeColor="text1"/>
        </w:rPr>
        <w:t>o</w:t>
      </w:r>
      <w:r>
        <w:rPr>
          <w:rFonts w:asciiTheme="majorBidi" w:hAnsiTheme="majorBidi" w:cstheme="majorBidi"/>
          <w:color w:val="000000" w:themeColor="text1"/>
        </w:rPr>
        <w:t>ne hundred and eighty-two</w:t>
      </w:r>
      <w:r w:rsidRPr="00D6654D">
        <w:rPr>
          <w:rFonts w:asciiTheme="majorBidi" w:hAnsiTheme="majorBidi" w:cstheme="majorBidi"/>
          <w:color w:val="000000" w:themeColor="text1"/>
        </w:rPr>
        <w:t xml:space="preserve"> males (45.2%) and 224 females (54.8%) reported </w:t>
      </w:r>
      <w:r>
        <w:rPr>
          <w:rFonts w:asciiTheme="majorBidi" w:hAnsiTheme="majorBidi" w:cstheme="majorBidi"/>
          <w:color w:val="000000" w:themeColor="text1"/>
        </w:rPr>
        <w:t xml:space="preserve">30-day prevalence rates of </w:t>
      </w:r>
      <w:r w:rsidRPr="00D6654D">
        <w:rPr>
          <w:rFonts w:asciiTheme="majorBidi" w:hAnsiTheme="majorBidi" w:cstheme="majorBidi"/>
          <w:color w:val="000000" w:themeColor="text1"/>
        </w:rPr>
        <w:t xml:space="preserve">3.2% and </w:t>
      </w:r>
      <w:r>
        <w:rPr>
          <w:rFonts w:asciiTheme="majorBidi" w:hAnsiTheme="majorBidi" w:cstheme="majorBidi"/>
          <w:color w:val="000000" w:themeColor="text1"/>
        </w:rPr>
        <w:t xml:space="preserve">lifetime </w:t>
      </w:r>
      <w:r w:rsidRPr="00A52D85">
        <w:rPr>
          <w:rFonts w:asciiTheme="majorBidi" w:hAnsiTheme="majorBidi" w:cstheme="majorBidi"/>
          <w:color w:val="000000" w:themeColor="text1"/>
        </w:rPr>
        <w:t>prevalenc</w:t>
      </w:r>
      <w:r>
        <w:rPr>
          <w:rFonts w:asciiTheme="majorBidi" w:hAnsiTheme="majorBidi" w:cstheme="majorBidi"/>
          <w:color w:val="000000" w:themeColor="text1"/>
        </w:rPr>
        <w:t xml:space="preserve">e rates of </w:t>
      </w:r>
      <w:r w:rsidRPr="00D6654D">
        <w:rPr>
          <w:rFonts w:asciiTheme="majorBidi" w:hAnsiTheme="majorBidi" w:cstheme="majorBidi"/>
        </w:rPr>
        <w:t xml:space="preserve">15.9% </w:t>
      </w:r>
      <w:r>
        <w:rPr>
          <w:rFonts w:asciiTheme="majorBidi" w:hAnsiTheme="majorBidi" w:cstheme="majorBidi"/>
        </w:rPr>
        <w:t xml:space="preserve">for </w:t>
      </w:r>
      <w:r w:rsidRPr="00D6654D">
        <w:rPr>
          <w:rFonts w:asciiTheme="majorBidi" w:hAnsiTheme="majorBidi" w:cstheme="majorBidi"/>
        </w:rPr>
        <w:t>alcohol and/or substance use</w:t>
      </w:r>
      <w:r>
        <w:rPr>
          <w:rFonts w:asciiTheme="majorBidi" w:hAnsiTheme="majorBidi" w:cstheme="majorBidi"/>
        </w:rPr>
        <w:t xml:space="preserve">. </w:t>
      </w:r>
      <w:r w:rsidR="00FE5B1D">
        <w:rPr>
          <w:rFonts w:asciiTheme="majorBidi" w:hAnsiTheme="majorBidi" w:cstheme="majorBidi"/>
          <w:b/>
          <w:bCs/>
          <w:i/>
          <w:iCs/>
        </w:rPr>
        <w:t>Results</w:t>
      </w:r>
      <w:r w:rsidR="00FE5B1D" w:rsidRPr="00FE5B1D">
        <w:rPr>
          <w:rFonts w:asciiTheme="majorBidi" w:hAnsiTheme="majorBidi" w:cstheme="majorBidi"/>
          <w:b/>
          <w:bCs/>
          <w:i/>
          <w:iCs/>
        </w:rPr>
        <w:t>:</w:t>
      </w:r>
      <w:r w:rsidR="00FE5B1D"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>Attitudes, subjective norms</w:t>
      </w:r>
      <w:r>
        <w:rPr>
          <w:rFonts w:asciiTheme="majorBidi" w:hAnsiTheme="majorBidi" w:cstheme="majorBidi"/>
        </w:rPr>
        <w:t>,</w:t>
      </w:r>
      <w:r w:rsidRPr="00D6654D">
        <w:rPr>
          <w:rFonts w:asciiTheme="majorBidi" w:hAnsiTheme="majorBidi" w:cstheme="majorBidi"/>
        </w:rPr>
        <w:t xml:space="preserve"> and self-efficacy significantly predicted OCSs</w:t>
      </w:r>
      <w:r>
        <w:rPr>
          <w:rFonts w:asciiTheme="majorBidi" w:hAnsiTheme="majorBidi" w:cstheme="majorBidi"/>
        </w:rPr>
        <w:t>’</w:t>
      </w:r>
      <w:r w:rsidRPr="00D6654D">
        <w:rPr>
          <w:rFonts w:asciiTheme="majorBidi" w:hAnsiTheme="majorBidi" w:cstheme="majorBidi"/>
        </w:rPr>
        <w:t xml:space="preserve"> alcohol and/or substance use behavioral intentions (p</w:t>
      </w:r>
      <w:r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>&lt;</w:t>
      </w:r>
      <w:r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>0.05). Perceived behavioral control w</w:t>
      </w:r>
      <w:r>
        <w:rPr>
          <w:rFonts w:asciiTheme="majorBidi" w:hAnsiTheme="majorBidi" w:cstheme="majorBidi"/>
        </w:rPr>
        <w:t>as not</w:t>
      </w:r>
      <w:r w:rsidRPr="00D6654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 </w:t>
      </w:r>
      <w:r w:rsidRPr="00D6654D">
        <w:rPr>
          <w:rFonts w:asciiTheme="majorBidi" w:hAnsiTheme="majorBidi" w:cstheme="majorBidi"/>
        </w:rPr>
        <w:t>significant predictor.</w:t>
      </w:r>
      <w:r>
        <w:rPr>
          <w:rFonts w:asciiTheme="majorBidi" w:hAnsiTheme="majorBidi" w:cstheme="majorBidi"/>
        </w:rPr>
        <w:t xml:space="preserve"> So</w:t>
      </w:r>
      <w:r w:rsidRPr="00D6654D">
        <w:rPr>
          <w:rFonts w:asciiTheme="majorBidi" w:hAnsiTheme="majorBidi" w:cstheme="majorBidi"/>
        </w:rPr>
        <w:t xml:space="preserve">cio-demographic factors </w:t>
      </w:r>
      <w:r>
        <w:rPr>
          <w:rFonts w:asciiTheme="majorBidi" w:hAnsiTheme="majorBidi" w:cstheme="majorBidi"/>
        </w:rPr>
        <w:t>(i.e., a</w:t>
      </w:r>
      <w:r w:rsidRPr="00D6654D">
        <w:rPr>
          <w:rFonts w:asciiTheme="majorBidi" w:hAnsiTheme="majorBidi" w:cstheme="majorBidi"/>
        </w:rPr>
        <w:t>ge, gender, father’s educational level, family income, college type, region of permanent residence</w:t>
      </w:r>
      <w:r>
        <w:rPr>
          <w:rFonts w:asciiTheme="majorBidi" w:hAnsiTheme="majorBidi" w:cstheme="majorBidi"/>
        </w:rPr>
        <w:t>,</w:t>
      </w:r>
      <w:r w:rsidRPr="00D6654D">
        <w:rPr>
          <w:rFonts w:asciiTheme="majorBidi" w:hAnsiTheme="majorBidi" w:cstheme="majorBidi"/>
        </w:rPr>
        <w:t xml:space="preserve"> and religiosity</w:t>
      </w:r>
      <w:r>
        <w:rPr>
          <w:rFonts w:asciiTheme="majorBidi" w:hAnsiTheme="majorBidi" w:cstheme="majorBidi"/>
        </w:rPr>
        <w:t>)</w:t>
      </w:r>
      <w:r w:rsidRPr="00D6654D">
        <w:rPr>
          <w:rFonts w:asciiTheme="majorBidi" w:hAnsiTheme="majorBidi" w:cstheme="majorBidi"/>
        </w:rPr>
        <w:t xml:space="preserve"> were significant</w:t>
      </w:r>
      <w:r>
        <w:rPr>
          <w:rFonts w:asciiTheme="majorBidi" w:hAnsiTheme="majorBidi" w:cstheme="majorBidi"/>
        </w:rPr>
        <w:t>ly</w:t>
      </w:r>
      <w:r w:rsidRPr="00D6654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associated with and predict</w:t>
      </w:r>
      <w:r w:rsidRPr="00D6654D">
        <w:rPr>
          <w:rFonts w:asciiTheme="majorBidi" w:hAnsiTheme="majorBidi" w:cstheme="majorBidi"/>
        </w:rPr>
        <w:t>ed OCSs alcohol and/or substance use behavioral intentions (p</w:t>
      </w:r>
      <w:r>
        <w:rPr>
          <w:rFonts w:asciiTheme="majorBidi" w:hAnsiTheme="majorBidi" w:cstheme="majorBidi"/>
        </w:rPr>
        <w:t xml:space="preserve"> </w:t>
      </w:r>
      <w:r w:rsidRPr="00D6654D">
        <w:rPr>
          <w:rFonts w:asciiTheme="majorBidi" w:hAnsiTheme="majorBidi" w:cstheme="majorBidi"/>
        </w:rPr>
        <w:t>&lt;</w:t>
      </w:r>
      <w:r>
        <w:rPr>
          <w:rFonts w:asciiTheme="majorBidi" w:hAnsiTheme="majorBidi" w:cstheme="majorBidi"/>
        </w:rPr>
        <w:t xml:space="preserve"> 0.05</w:t>
      </w:r>
      <w:r w:rsidRPr="00D6654D">
        <w:rPr>
          <w:rFonts w:asciiTheme="majorBidi" w:hAnsiTheme="majorBidi" w:cstheme="majorBidi"/>
        </w:rPr>
        <w:t xml:space="preserve">). </w:t>
      </w:r>
    </w:p>
    <w:p w14:paraId="5D3EB9C8" w14:textId="5677DA6E" w:rsidR="00C174A9" w:rsidRDefault="00A0207A" w:rsidP="00FE5B1D">
      <w:pPr>
        <w:widowControl w:val="0"/>
        <w:autoSpaceDE w:val="0"/>
        <w:autoSpaceDN w:val="0"/>
        <w:adjustRightInd w:val="0"/>
        <w:ind w:firstLine="720"/>
        <w:rPr>
          <w:rFonts w:asciiTheme="majorBidi" w:hAnsiTheme="majorBidi" w:cstheme="majorBidi"/>
        </w:rPr>
      </w:pPr>
      <w:r w:rsidRPr="00D6654D">
        <w:rPr>
          <w:rFonts w:asciiTheme="majorBidi" w:hAnsiTheme="majorBidi" w:cstheme="majorBidi"/>
        </w:rPr>
        <w:t xml:space="preserve">Findings supported </w:t>
      </w:r>
      <w:r w:rsidRPr="00D6654D">
        <w:rPr>
          <w:rFonts w:asciiTheme="majorBidi" w:hAnsiTheme="majorBidi" w:cstheme="majorBidi"/>
          <w:color w:val="000000"/>
        </w:rPr>
        <w:t>attitudes, subjective norms, self-efficacy</w:t>
      </w:r>
      <w:r>
        <w:rPr>
          <w:rFonts w:asciiTheme="majorBidi" w:hAnsiTheme="majorBidi" w:cstheme="majorBidi"/>
          <w:color w:val="000000"/>
        </w:rPr>
        <w:t>,</w:t>
      </w:r>
      <w:r w:rsidRPr="00D6654D">
        <w:rPr>
          <w:rFonts w:asciiTheme="majorBidi" w:hAnsiTheme="majorBidi" w:cstheme="majorBidi"/>
          <w:color w:val="000000"/>
        </w:rPr>
        <w:t xml:space="preserve"> and perceived behavioral control</w:t>
      </w:r>
      <w:r>
        <w:rPr>
          <w:rFonts w:asciiTheme="majorBidi" w:hAnsiTheme="majorBidi" w:cstheme="majorBidi"/>
        </w:rPr>
        <w:t xml:space="preserve"> as </w:t>
      </w:r>
      <w:r w:rsidRPr="00D6654D">
        <w:rPr>
          <w:rFonts w:asciiTheme="majorBidi" w:hAnsiTheme="majorBidi" w:cstheme="majorBidi"/>
        </w:rPr>
        <w:t>predict</w:t>
      </w:r>
      <w:r>
        <w:rPr>
          <w:rFonts w:asciiTheme="majorBidi" w:hAnsiTheme="majorBidi" w:cstheme="majorBidi"/>
        </w:rPr>
        <w:t xml:space="preserve">ors for </w:t>
      </w:r>
      <w:r w:rsidRPr="00D6654D">
        <w:rPr>
          <w:rFonts w:asciiTheme="majorBidi" w:hAnsiTheme="majorBidi" w:cstheme="majorBidi"/>
        </w:rPr>
        <w:t xml:space="preserve">alcohol and/or substance use </w:t>
      </w:r>
      <w:r>
        <w:rPr>
          <w:rFonts w:asciiTheme="majorBidi" w:hAnsiTheme="majorBidi" w:cstheme="majorBidi"/>
        </w:rPr>
        <w:t xml:space="preserve">behavioral intentions </w:t>
      </w:r>
      <w:r w:rsidR="00FE5B1D">
        <w:rPr>
          <w:rFonts w:asciiTheme="majorBidi" w:hAnsiTheme="majorBidi" w:cstheme="majorBidi"/>
        </w:rPr>
        <w:t xml:space="preserve">among OCSs. </w:t>
      </w:r>
      <w:r w:rsidRPr="00E56CFC">
        <w:rPr>
          <w:rFonts w:asciiTheme="majorBidi" w:hAnsiTheme="majorBidi" w:cstheme="majorBidi"/>
        </w:rPr>
        <w:t>Secondly, OCSs reported a strong self-efficacy in their ability to avoid alcohol and/or substances</w:t>
      </w:r>
      <w:r>
        <w:rPr>
          <w:rFonts w:asciiTheme="majorBidi" w:hAnsiTheme="majorBidi" w:cstheme="majorBidi"/>
        </w:rPr>
        <w:t>;</w:t>
      </w:r>
      <w:r w:rsidRPr="00E56CFC">
        <w:rPr>
          <w:rFonts w:asciiTheme="majorBidi" w:hAnsiTheme="majorBidi" w:cstheme="majorBidi"/>
        </w:rPr>
        <w:t xml:space="preserve"> however</w:t>
      </w:r>
      <w:r>
        <w:rPr>
          <w:rFonts w:asciiTheme="majorBidi" w:hAnsiTheme="majorBidi" w:cstheme="majorBidi"/>
        </w:rPr>
        <w:t>,</w:t>
      </w:r>
      <w:r w:rsidRPr="00E56CFC">
        <w:rPr>
          <w:rFonts w:asciiTheme="majorBidi" w:hAnsiTheme="majorBidi" w:cstheme="majorBidi"/>
        </w:rPr>
        <w:t xml:space="preserve"> this did not translate to lower intentions. </w:t>
      </w:r>
      <w:r>
        <w:rPr>
          <w:rFonts w:asciiTheme="majorBidi" w:hAnsiTheme="majorBidi" w:cstheme="majorBidi"/>
        </w:rPr>
        <w:t>P</w:t>
      </w:r>
      <w:r w:rsidRPr="00E56CFC">
        <w:rPr>
          <w:rFonts w:asciiTheme="majorBidi" w:hAnsiTheme="majorBidi" w:cstheme="majorBidi"/>
        </w:rPr>
        <w:t xml:space="preserve">ublic health professionals, educators, and policymakers should focus on influencing intentions </w:t>
      </w:r>
      <w:r>
        <w:rPr>
          <w:rFonts w:asciiTheme="majorBidi" w:hAnsiTheme="majorBidi" w:cstheme="majorBidi"/>
        </w:rPr>
        <w:t>and</w:t>
      </w:r>
      <w:r w:rsidRPr="00E56CFC">
        <w:rPr>
          <w:rFonts w:asciiTheme="majorBidi" w:hAnsiTheme="majorBidi" w:cstheme="majorBidi"/>
        </w:rPr>
        <w:t xml:space="preserve"> on strengthening OCSs</w:t>
      </w:r>
      <w:r>
        <w:rPr>
          <w:rFonts w:asciiTheme="majorBidi" w:hAnsiTheme="majorBidi" w:cstheme="majorBidi"/>
        </w:rPr>
        <w:t>’</w:t>
      </w:r>
      <w:r w:rsidRPr="00E56CFC">
        <w:rPr>
          <w:rFonts w:asciiTheme="majorBidi" w:hAnsiTheme="majorBidi" w:cstheme="majorBidi"/>
        </w:rPr>
        <w:t xml:space="preserve"> confidence to abstain from alcohol and/or substance</w:t>
      </w:r>
      <w:r>
        <w:rPr>
          <w:rFonts w:asciiTheme="majorBidi" w:hAnsiTheme="majorBidi" w:cstheme="majorBidi"/>
        </w:rPr>
        <w:t xml:space="preserve">s. </w:t>
      </w:r>
    </w:p>
    <w:p w14:paraId="5A951636" w14:textId="77777777" w:rsidR="00FE5B1D" w:rsidRDefault="00FE5B1D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</w:p>
    <w:p w14:paraId="63708E61" w14:textId="42EB5E7F" w:rsidR="00FE5B1D" w:rsidRDefault="00FE5B1D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/>
          <w:bCs/>
        </w:rPr>
      </w:pPr>
      <w:r w:rsidRPr="00FE5B1D">
        <w:rPr>
          <w:rFonts w:asciiTheme="majorBidi" w:hAnsiTheme="majorBidi" w:cstheme="majorBidi"/>
          <w:b/>
          <w:bCs/>
        </w:rPr>
        <w:t>Bibliography</w:t>
      </w:r>
    </w:p>
    <w:p w14:paraId="3C332151" w14:textId="77777777" w:rsidR="00FE5B1D" w:rsidRDefault="00FE5B1D" w:rsidP="00FE5B1D">
      <w:pPr>
        <w:tabs>
          <w:tab w:val="left" w:pos="2774"/>
        </w:tabs>
        <w:rPr>
          <w:rFonts w:asciiTheme="majorBidi" w:hAnsiTheme="majorBidi" w:cstheme="majorBidi"/>
          <w:color w:val="000000" w:themeColor="text1"/>
        </w:rPr>
      </w:pPr>
    </w:p>
    <w:p w14:paraId="61D53FE8" w14:textId="19F9B602" w:rsidR="00FE5B1D" w:rsidRDefault="00FE5B1D" w:rsidP="00156B49">
      <w:pPr>
        <w:tabs>
          <w:tab w:val="left" w:pos="2774"/>
        </w:tabs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      </w:t>
      </w:r>
      <w:r w:rsidRPr="00D6654D">
        <w:rPr>
          <w:rFonts w:asciiTheme="majorBidi" w:hAnsiTheme="majorBidi" w:cstheme="majorBidi"/>
          <w:color w:val="000000" w:themeColor="text1"/>
        </w:rPr>
        <w:t xml:space="preserve">Muna Shaaban </w:t>
      </w:r>
      <w:r>
        <w:rPr>
          <w:rFonts w:asciiTheme="majorBidi" w:hAnsiTheme="majorBidi" w:cstheme="majorBidi"/>
          <w:color w:val="000000" w:themeColor="text1"/>
        </w:rPr>
        <w:t xml:space="preserve">Bait </w:t>
      </w:r>
      <w:r w:rsidRPr="00D6654D">
        <w:rPr>
          <w:rFonts w:asciiTheme="majorBidi" w:hAnsiTheme="majorBidi" w:cstheme="majorBidi"/>
          <w:color w:val="000000" w:themeColor="text1"/>
        </w:rPr>
        <w:t>Ajzoon</w:t>
      </w:r>
      <w:r>
        <w:rPr>
          <w:rFonts w:asciiTheme="majorBidi" w:hAnsiTheme="majorBidi" w:cstheme="majorBidi"/>
          <w:color w:val="000000" w:themeColor="text1"/>
        </w:rPr>
        <w:t xml:space="preserve"> has completed her PhD in health services research from Old Dominion University, USA in 2017. She is the dean of Nursing college</w:t>
      </w:r>
      <w:r w:rsidR="000B297E">
        <w:rPr>
          <w:rFonts w:asciiTheme="majorBidi" w:hAnsiTheme="majorBidi" w:cstheme="majorBidi"/>
          <w:color w:val="000000" w:themeColor="text1"/>
        </w:rPr>
        <w:t xml:space="preserve">, Ministry of Health </w:t>
      </w:r>
      <w:r>
        <w:rPr>
          <w:rFonts w:asciiTheme="majorBidi" w:hAnsiTheme="majorBidi" w:cstheme="majorBidi"/>
          <w:color w:val="000000" w:themeColor="text1"/>
        </w:rPr>
        <w:t xml:space="preserve">Oman. She </w:t>
      </w:r>
      <w:r w:rsidR="000B297E">
        <w:rPr>
          <w:rFonts w:asciiTheme="majorBidi" w:hAnsiTheme="majorBidi" w:cstheme="majorBidi"/>
          <w:color w:val="000000" w:themeColor="text1"/>
        </w:rPr>
        <w:t xml:space="preserve">also has more than 12 years nursing teaching experience and more than 5 years’ leadership and management experience. </w:t>
      </w:r>
    </w:p>
    <w:p w14:paraId="5E0A2048" w14:textId="53048C8C" w:rsidR="00156B49" w:rsidRDefault="00156B49" w:rsidP="00156B49">
      <w:pPr>
        <w:tabs>
          <w:tab w:val="left" w:pos="2774"/>
        </w:tabs>
        <w:jc w:val="right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Email: majzoon@gmail.com</w:t>
      </w:r>
    </w:p>
    <w:p w14:paraId="45855EF8" w14:textId="6C2E6DF6" w:rsidR="00156B49" w:rsidRPr="00156B49" w:rsidRDefault="00156B49" w:rsidP="00156B49">
      <w:pPr>
        <w:tabs>
          <w:tab w:val="left" w:pos="2774"/>
        </w:tabs>
        <w:rPr>
          <w:rFonts w:asciiTheme="majorBidi" w:hAnsiTheme="majorBidi" w:cstheme="majorBidi"/>
          <w:b/>
          <w:bCs/>
          <w:color w:val="000000" w:themeColor="text1"/>
        </w:rPr>
      </w:pPr>
      <w:r w:rsidRPr="00156B49">
        <w:rPr>
          <w:rFonts w:asciiTheme="majorBidi" w:hAnsiTheme="majorBidi" w:cstheme="majorBidi"/>
          <w:b/>
          <w:bCs/>
          <w:color w:val="000000" w:themeColor="text1"/>
        </w:rPr>
        <w:t>Presenting author details</w:t>
      </w:r>
    </w:p>
    <w:p w14:paraId="684EC695" w14:textId="31253CDD" w:rsidR="00156B49" w:rsidRPr="00D6654D" w:rsidRDefault="00156B49" w:rsidP="00156B49">
      <w:pPr>
        <w:tabs>
          <w:tab w:val="left" w:pos="2774"/>
        </w:tabs>
        <w:rPr>
          <w:rFonts w:asciiTheme="majorBidi" w:hAnsiTheme="majorBidi" w:cstheme="majorBidi"/>
          <w:color w:val="000000" w:themeColor="text1"/>
        </w:rPr>
      </w:pPr>
      <w:r w:rsidRPr="00D6654D">
        <w:rPr>
          <w:rFonts w:asciiTheme="majorBidi" w:hAnsiTheme="majorBidi" w:cstheme="majorBidi"/>
          <w:color w:val="000000" w:themeColor="text1"/>
        </w:rPr>
        <w:t xml:space="preserve">Muna Shaaban </w:t>
      </w:r>
      <w:r>
        <w:rPr>
          <w:rFonts w:asciiTheme="majorBidi" w:hAnsiTheme="majorBidi" w:cstheme="majorBidi"/>
          <w:color w:val="000000" w:themeColor="text1"/>
        </w:rPr>
        <w:t xml:space="preserve">Bait </w:t>
      </w:r>
      <w:r w:rsidRPr="00D6654D">
        <w:rPr>
          <w:rFonts w:asciiTheme="majorBidi" w:hAnsiTheme="majorBidi" w:cstheme="majorBidi"/>
          <w:color w:val="000000" w:themeColor="text1"/>
        </w:rPr>
        <w:t>Ajzoon</w:t>
      </w:r>
    </w:p>
    <w:p w14:paraId="2481FAEC" w14:textId="46B23F28" w:rsidR="00FE5B1D" w:rsidRDefault="00156B49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 w:rsidRPr="00156B49">
        <w:rPr>
          <w:rFonts w:asciiTheme="majorBidi" w:hAnsiTheme="majorBidi" w:cstheme="majorBidi"/>
        </w:rPr>
        <w:t>Tell:</w:t>
      </w:r>
      <w:r>
        <w:rPr>
          <w:rFonts w:asciiTheme="majorBidi" w:hAnsiTheme="majorBidi" w:cstheme="majorBidi"/>
        </w:rPr>
        <w:t xml:space="preserve"> 968-91922944</w:t>
      </w:r>
    </w:p>
    <w:p w14:paraId="1F061076" w14:textId="0806D594" w:rsidR="00156B49" w:rsidRDefault="00156B49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Linked in account:</w:t>
      </w:r>
      <w:r w:rsidR="00766B2A">
        <w:rPr>
          <w:rFonts w:asciiTheme="majorBidi" w:hAnsiTheme="majorBidi" w:cstheme="majorBidi"/>
        </w:rPr>
        <w:t xml:space="preserve"> majzoon@gmail.com</w:t>
      </w:r>
    </w:p>
    <w:p w14:paraId="72D60881" w14:textId="797FF897" w:rsidR="00156B49" w:rsidRDefault="00156B49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Session of interest: </w:t>
      </w:r>
      <w:r w:rsidR="009D4D17">
        <w:rPr>
          <w:rFonts w:asciiTheme="majorBidi" w:hAnsiTheme="majorBidi" w:cstheme="majorBidi"/>
        </w:rPr>
        <w:t>S</w:t>
      </w:r>
      <w:r w:rsidR="00626D03">
        <w:rPr>
          <w:rFonts w:asciiTheme="majorBidi" w:hAnsiTheme="majorBidi" w:cstheme="majorBidi"/>
        </w:rPr>
        <w:t>ubstance</w:t>
      </w:r>
      <w:r w:rsidR="009D4D17">
        <w:rPr>
          <w:rFonts w:asciiTheme="majorBidi" w:hAnsiTheme="majorBidi" w:cstheme="majorBidi"/>
        </w:rPr>
        <w:t>s</w:t>
      </w:r>
      <w:r w:rsidR="00626D03">
        <w:rPr>
          <w:rFonts w:asciiTheme="majorBidi" w:hAnsiTheme="majorBidi" w:cstheme="majorBidi"/>
        </w:rPr>
        <w:t xml:space="preserve"> and alcohol </w:t>
      </w:r>
      <w:r w:rsidR="009D4D17">
        <w:rPr>
          <w:rFonts w:asciiTheme="majorBidi" w:hAnsiTheme="majorBidi" w:cstheme="majorBidi"/>
        </w:rPr>
        <w:t xml:space="preserve">abuse &amp; </w:t>
      </w:r>
      <w:r w:rsidR="00626D03">
        <w:rPr>
          <w:rFonts w:asciiTheme="majorBidi" w:hAnsiTheme="majorBidi" w:cstheme="majorBidi"/>
        </w:rPr>
        <w:t>Mental Health</w:t>
      </w:r>
    </w:p>
    <w:p w14:paraId="2E80ACA4" w14:textId="10421AA3" w:rsidR="00156B49" w:rsidRPr="00156B49" w:rsidRDefault="00156B49" w:rsidP="00FE5B1D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Category: Oral presentation </w:t>
      </w:r>
      <w:bookmarkStart w:id="0" w:name="_GoBack"/>
      <w:bookmarkEnd w:id="0"/>
    </w:p>
    <w:sectPr w:rsidR="00156B49" w:rsidRPr="00156B49" w:rsidSect="00A85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7A"/>
    <w:rsid w:val="000B297E"/>
    <w:rsid w:val="00156B49"/>
    <w:rsid w:val="004F6532"/>
    <w:rsid w:val="00626D03"/>
    <w:rsid w:val="00766B2A"/>
    <w:rsid w:val="009D4D17"/>
    <w:rsid w:val="00A0207A"/>
    <w:rsid w:val="00A85AE6"/>
    <w:rsid w:val="00C174A9"/>
    <w:rsid w:val="00FE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CD8E1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0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397</Words>
  <Characters>2263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ajzoon</dc:creator>
  <cp:keywords/>
  <dc:description/>
  <cp:lastModifiedBy>muna ajzoon</cp:lastModifiedBy>
  <cp:revision>6</cp:revision>
  <dcterms:created xsi:type="dcterms:W3CDTF">2017-11-14T04:39:00Z</dcterms:created>
  <dcterms:modified xsi:type="dcterms:W3CDTF">2017-11-14T05:10:00Z</dcterms:modified>
</cp:coreProperties>
</file>