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632" w:rsidRDefault="00004B17" w:rsidP="00ED194C">
      <w:pPr>
        <w:autoSpaceDE w:val="0"/>
        <w:autoSpaceDN w:val="0"/>
        <w:adjustRightInd w:val="0"/>
        <w:spacing w:before="240"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The </w:t>
      </w:r>
      <w:proofErr w:type="spellStart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>neuroprotective</w:t>
      </w:r>
      <w:proofErr w:type="spellEnd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role of </w:t>
      </w:r>
      <w:proofErr w:type="spellStart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>argan</w:t>
      </w:r>
      <w:proofErr w:type="spellEnd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oil against alcohol use disorders in the Wistar rat</w:t>
      </w:r>
      <w:r w:rsidR="00ED194C"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>.</w:t>
      </w:r>
    </w:p>
    <w:p w:rsidR="00ED194C" w:rsidRDefault="00ED194C" w:rsidP="00ED194C">
      <w:pPr>
        <w:autoSpaceDE w:val="0"/>
        <w:autoSpaceDN w:val="0"/>
        <w:adjustRightInd w:val="0"/>
        <w:spacing w:before="240" w:after="0"/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ED194C" w:rsidRPr="00ED194C" w:rsidRDefault="00ED194C" w:rsidP="00ED194C">
      <w:pPr>
        <w:autoSpaceDE w:val="0"/>
        <w:autoSpaceDN w:val="0"/>
        <w:adjustRightInd w:val="0"/>
        <w:spacing w:after="240" w:line="36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ED194C">
        <w:rPr>
          <w:rFonts w:asciiTheme="majorBidi" w:hAnsiTheme="majorBidi" w:cstheme="majorBidi"/>
          <w:sz w:val="24"/>
          <w:szCs w:val="24"/>
          <w:u w:val="single"/>
          <w:lang w:val="en-US"/>
        </w:rPr>
        <w:t>EL Mostafi Hicham</w:t>
      </w:r>
      <w:r w:rsidRPr="00ED194C">
        <w:rPr>
          <w:rFonts w:asciiTheme="majorBidi" w:hAnsiTheme="majorBidi" w:cstheme="majorBidi"/>
          <w:sz w:val="24"/>
          <w:szCs w:val="24"/>
          <w:u w:val="single"/>
          <w:vertAlign w:val="superscript"/>
          <w:lang w:val="en-US"/>
        </w:rPr>
        <w:t xml:space="preserve">1 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; </w:t>
      </w:r>
      <w:proofErr w:type="spellStart"/>
      <w:r w:rsidRPr="00ED194C">
        <w:rPr>
          <w:rFonts w:asciiTheme="majorBidi" w:hAnsiTheme="majorBidi" w:cstheme="majorBidi"/>
          <w:sz w:val="24"/>
          <w:szCs w:val="24"/>
          <w:lang w:val="en-US"/>
        </w:rPr>
        <w:t>Touil</w:t>
      </w:r>
      <w:proofErr w:type="spellEnd"/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Tarik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 xml:space="preserve">1,2 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; El </w:t>
      </w:r>
      <w:proofErr w:type="spellStart"/>
      <w:r w:rsidRPr="00ED194C">
        <w:rPr>
          <w:rFonts w:asciiTheme="majorBidi" w:hAnsiTheme="majorBidi" w:cstheme="majorBidi"/>
          <w:sz w:val="24"/>
          <w:szCs w:val="24"/>
          <w:lang w:val="en-US"/>
        </w:rPr>
        <w:t>Karouche</w:t>
      </w:r>
      <w:proofErr w:type="spellEnd"/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Bilal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 ; </w:t>
      </w:r>
      <w:proofErr w:type="spellStart"/>
      <w:r w:rsidRPr="00ED194C">
        <w:rPr>
          <w:rFonts w:asciiTheme="majorBidi" w:hAnsiTheme="majorBidi" w:cstheme="majorBidi"/>
          <w:sz w:val="24"/>
          <w:szCs w:val="24"/>
          <w:lang w:val="en-US"/>
        </w:rPr>
        <w:t>Laaziz</w:t>
      </w:r>
      <w:proofErr w:type="spellEnd"/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Abderrahim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 ; </w:t>
      </w:r>
      <w:proofErr w:type="spellStart"/>
      <w:r w:rsidRPr="00ED194C">
        <w:rPr>
          <w:rFonts w:asciiTheme="majorBidi" w:hAnsiTheme="majorBidi" w:cstheme="majorBidi"/>
          <w:sz w:val="24"/>
          <w:szCs w:val="24"/>
          <w:lang w:val="en-US"/>
        </w:rPr>
        <w:t>Ouichou</w:t>
      </w:r>
      <w:proofErr w:type="spellEnd"/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Ali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 ; </w:t>
      </w:r>
      <w:proofErr w:type="spellStart"/>
      <w:r w:rsidRPr="00ED194C">
        <w:rPr>
          <w:rFonts w:asciiTheme="majorBidi" w:hAnsiTheme="majorBidi" w:cstheme="majorBidi"/>
          <w:sz w:val="24"/>
          <w:szCs w:val="24"/>
          <w:lang w:val="en-US"/>
        </w:rPr>
        <w:t>Elhessni</w:t>
      </w:r>
      <w:proofErr w:type="spellEnd"/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Aboubaker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 xml:space="preserve"> et Mesfioui Abelhalim</w:t>
      </w:r>
      <w:r w:rsidRPr="00ED194C">
        <w:rPr>
          <w:rFonts w:asciiTheme="majorBidi" w:hAnsiTheme="majorBidi" w:cstheme="majorBidi"/>
          <w:sz w:val="24"/>
          <w:szCs w:val="24"/>
          <w:vertAlign w:val="superscript"/>
          <w:lang w:val="en-US"/>
        </w:rPr>
        <w:t>1</w:t>
      </w:r>
      <w:r w:rsidRPr="00ED194C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ED194C" w:rsidRPr="00ED194C" w:rsidRDefault="00ED194C" w:rsidP="00ED194C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1. </w:t>
      </w:r>
      <w:r w:rsidRPr="00ED194C">
        <w:rPr>
          <w:rFonts w:asciiTheme="majorBidi" w:hAnsiTheme="majorBidi" w:cstheme="majorBidi"/>
          <w:lang w:val="en-US"/>
        </w:rPr>
        <w:t xml:space="preserve">Laboratory of Genetics, </w:t>
      </w:r>
      <w:proofErr w:type="spellStart"/>
      <w:r w:rsidRPr="00ED194C">
        <w:rPr>
          <w:rFonts w:asciiTheme="majorBidi" w:hAnsiTheme="majorBidi" w:cstheme="majorBidi"/>
          <w:lang w:val="en-US"/>
        </w:rPr>
        <w:t>Neuroendocrinology</w:t>
      </w:r>
      <w:proofErr w:type="spellEnd"/>
      <w:r w:rsidRPr="00ED194C">
        <w:rPr>
          <w:rFonts w:asciiTheme="majorBidi" w:hAnsiTheme="majorBidi" w:cstheme="majorBidi"/>
          <w:lang w:val="en-US"/>
        </w:rPr>
        <w:t xml:space="preserve"> and Biotechnology -Faculty of Science, </w:t>
      </w:r>
      <w:proofErr w:type="spellStart"/>
      <w:r w:rsidRPr="00ED194C">
        <w:rPr>
          <w:rFonts w:asciiTheme="majorBidi" w:hAnsiTheme="majorBidi" w:cstheme="majorBidi"/>
          <w:lang w:val="en-US"/>
        </w:rPr>
        <w:t>Ibn</w:t>
      </w:r>
      <w:proofErr w:type="spellEnd"/>
      <w:r w:rsidRPr="00ED194C">
        <w:rPr>
          <w:rFonts w:asciiTheme="majorBidi" w:hAnsiTheme="majorBidi" w:cstheme="majorBidi"/>
          <w:lang w:val="en-US"/>
        </w:rPr>
        <w:t xml:space="preserve"> Tofail University, </w:t>
      </w:r>
      <w:proofErr w:type="spellStart"/>
      <w:r w:rsidRPr="00ED194C">
        <w:rPr>
          <w:rFonts w:asciiTheme="majorBidi" w:hAnsiTheme="majorBidi" w:cstheme="majorBidi"/>
          <w:lang w:val="en-US"/>
        </w:rPr>
        <w:t>Kenitra</w:t>
      </w:r>
      <w:proofErr w:type="spellEnd"/>
      <w:r w:rsidRPr="00ED194C">
        <w:rPr>
          <w:rFonts w:asciiTheme="majorBidi" w:hAnsiTheme="majorBidi" w:cstheme="majorBidi"/>
          <w:lang w:val="en-US"/>
        </w:rPr>
        <w:t>. Morocco.</w:t>
      </w:r>
    </w:p>
    <w:p w:rsidR="00ED194C" w:rsidRPr="00ED194C" w:rsidRDefault="00ED194C" w:rsidP="00ED194C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2. </w:t>
      </w:r>
      <w:r w:rsidRPr="00ED194C">
        <w:rPr>
          <w:rFonts w:asciiTheme="majorBidi" w:hAnsiTheme="majorBidi" w:cstheme="majorBidi"/>
          <w:lang w:val="en-US"/>
        </w:rPr>
        <w:t>Higher Institute of Nursing and Health Professions, Rabat, Morocco.</w:t>
      </w:r>
    </w:p>
    <w:p w:rsidR="00004B17" w:rsidRPr="00ED194C" w:rsidRDefault="00004B17" w:rsidP="00ED194C">
      <w:pPr>
        <w:autoSpaceDE w:val="0"/>
        <w:autoSpaceDN w:val="0"/>
        <w:adjustRightInd w:val="0"/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r w:rsidRPr="00ED194C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therapeutic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preventive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effects of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argan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oil (</w:t>
      </w:r>
      <w:r w:rsidR="00DA07AC" w:rsidRPr="00ED194C">
        <w:rPr>
          <w:rFonts w:asciiTheme="majorBidi" w:hAnsiTheme="majorBidi" w:cstheme="majorBidi"/>
          <w:sz w:val="24"/>
          <w:szCs w:val="24"/>
        </w:rPr>
        <w:t>AO</w:t>
      </w:r>
      <w:r w:rsidRPr="00ED194C">
        <w:rPr>
          <w:rFonts w:asciiTheme="majorBidi" w:hAnsiTheme="majorBidi" w:cstheme="majorBidi"/>
          <w:sz w:val="24"/>
          <w:szCs w:val="24"/>
        </w:rPr>
        <w:t xml:space="preserve">) have been claimed by the natives of Morocco and explorers for more than eight centuries. However, the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addictolytic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properties of this oil have remained unexplored.</w:t>
      </w:r>
      <w:r w:rsidR="00DA07AC" w:rsidRPr="00ED194C">
        <w:rPr>
          <w:rFonts w:asciiTheme="majorBidi" w:hAnsiTheme="majorBidi" w:cstheme="majorBidi"/>
          <w:sz w:val="24"/>
          <w:szCs w:val="24"/>
        </w:rPr>
        <w:t xml:space="preserve"> The aim of this study was to evaluate the </w:t>
      </w:r>
      <w:proofErr w:type="spellStart"/>
      <w:r w:rsidR="00DA07AC" w:rsidRPr="00ED194C">
        <w:rPr>
          <w:rFonts w:asciiTheme="majorBidi" w:hAnsiTheme="majorBidi" w:cstheme="majorBidi"/>
          <w:sz w:val="24"/>
          <w:szCs w:val="24"/>
        </w:rPr>
        <w:t>neuroprotective</w:t>
      </w:r>
      <w:proofErr w:type="spellEnd"/>
      <w:r w:rsidR="00DA07AC" w:rsidRPr="00ED194C">
        <w:rPr>
          <w:rFonts w:asciiTheme="majorBidi" w:hAnsiTheme="majorBidi" w:cstheme="majorBidi"/>
          <w:sz w:val="24"/>
          <w:szCs w:val="24"/>
        </w:rPr>
        <w:t xml:space="preserve"> role of AO against the toxic effects of alcohol, characterizing the cycle of addiction in Wistar rats.</w:t>
      </w:r>
    </w:p>
    <w:p w:rsidR="003E3A40" w:rsidRPr="00ED194C" w:rsidRDefault="00DA07AC" w:rsidP="008D5D2B">
      <w:pPr>
        <w:autoSpaceDE w:val="0"/>
        <w:autoSpaceDN w:val="0"/>
        <w:adjustRightInd w:val="0"/>
        <w:spacing w:before="240" w:after="0"/>
        <w:jc w:val="both"/>
        <w:rPr>
          <w:rFonts w:asciiTheme="majorBidi" w:hAnsiTheme="majorBidi" w:cstheme="majorBidi"/>
          <w:sz w:val="24"/>
          <w:szCs w:val="24"/>
        </w:rPr>
      </w:pPr>
      <w:r w:rsidRPr="008D5D2B">
        <w:rPr>
          <w:rFonts w:asciiTheme="majorBidi" w:hAnsiTheme="majorBidi" w:cstheme="majorBidi"/>
          <w:sz w:val="24"/>
          <w:szCs w:val="24"/>
          <w:lang w:val="en-US"/>
        </w:rPr>
        <w:t>Male and female rats were supplemented with AO (10g / Kg / d</w:t>
      </w:r>
      <w:r w:rsidR="008D5D2B" w:rsidRPr="008D5D2B">
        <w:rPr>
          <w:rFonts w:asciiTheme="majorBidi" w:hAnsiTheme="majorBidi" w:cstheme="majorBidi"/>
          <w:sz w:val="24"/>
          <w:szCs w:val="24"/>
          <w:lang w:val="en-US"/>
        </w:rPr>
        <w:t>ay</w:t>
      </w:r>
      <w:r w:rsidRPr="008D5D2B">
        <w:rPr>
          <w:rFonts w:asciiTheme="majorBidi" w:hAnsiTheme="majorBidi" w:cstheme="majorBidi"/>
          <w:sz w:val="24"/>
          <w:szCs w:val="24"/>
          <w:lang w:val="en-US"/>
        </w:rPr>
        <w:t xml:space="preserve">) for 14 weeks from the day of weaning (21st postnatal day (PND)). </w:t>
      </w:r>
      <w:r w:rsidR="003E3A40" w:rsidRPr="00ED194C">
        <w:rPr>
          <w:rFonts w:asciiTheme="majorBidi" w:hAnsiTheme="majorBidi" w:cstheme="majorBidi"/>
          <w:sz w:val="24"/>
          <w:szCs w:val="24"/>
        </w:rPr>
        <w:t xml:space="preserve">To model </w:t>
      </w:r>
      <w:proofErr w:type="spellStart"/>
      <w:r w:rsidR="003E3A40" w:rsidRPr="00ED194C">
        <w:rPr>
          <w:rFonts w:asciiTheme="majorBidi" w:hAnsiTheme="majorBidi" w:cstheme="majorBidi"/>
          <w:sz w:val="24"/>
          <w:szCs w:val="24"/>
        </w:rPr>
        <w:t>binge</w:t>
      </w:r>
      <w:proofErr w:type="spellEnd"/>
      <w:r w:rsidR="003E3A40" w:rsidRPr="00ED194C">
        <w:rPr>
          <w:rFonts w:asciiTheme="majorBidi" w:hAnsiTheme="majorBidi" w:cstheme="majorBidi"/>
          <w:sz w:val="24"/>
          <w:szCs w:val="24"/>
        </w:rPr>
        <w:t xml:space="preserve">-like </w:t>
      </w:r>
      <w:proofErr w:type="spellStart"/>
      <w:r w:rsidR="003E3A40" w:rsidRPr="00ED194C">
        <w:rPr>
          <w:rFonts w:asciiTheme="majorBidi" w:hAnsiTheme="majorBidi" w:cstheme="majorBidi"/>
          <w:sz w:val="24"/>
          <w:szCs w:val="24"/>
        </w:rPr>
        <w:t>ethanol</w:t>
      </w:r>
      <w:proofErr w:type="spellEnd"/>
      <w:r w:rsidR="003E3A40" w:rsidRPr="00ED194C">
        <w:rPr>
          <w:rFonts w:asciiTheme="majorBidi" w:hAnsiTheme="majorBidi" w:cstheme="majorBidi"/>
          <w:sz w:val="24"/>
          <w:szCs w:val="24"/>
        </w:rPr>
        <w:t xml:space="preserve"> intoxication, every 2 days, these  rats received an ethanol injection (3.0 g/kg) for 2 consecutive days across 14 days either from </w:t>
      </w:r>
      <w:r w:rsidR="0097477B" w:rsidRPr="00ED194C">
        <w:rPr>
          <w:rFonts w:asciiTheme="majorBidi" w:hAnsiTheme="majorBidi" w:cstheme="majorBidi"/>
          <w:sz w:val="24"/>
          <w:szCs w:val="24"/>
        </w:rPr>
        <w:t xml:space="preserve">PND30 </w:t>
      </w:r>
      <w:r w:rsidR="003E3A40" w:rsidRPr="00ED194C">
        <w:rPr>
          <w:rFonts w:asciiTheme="majorBidi" w:hAnsiTheme="majorBidi" w:cstheme="majorBidi"/>
          <w:sz w:val="24"/>
          <w:szCs w:val="24"/>
        </w:rPr>
        <w:t xml:space="preserve"> to 43 (early adolescence)</w:t>
      </w:r>
      <w:r w:rsidR="0097477B" w:rsidRPr="00ED194C">
        <w:rPr>
          <w:rFonts w:asciiTheme="majorBidi" w:hAnsiTheme="majorBidi" w:cstheme="majorBidi"/>
          <w:sz w:val="24"/>
          <w:szCs w:val="24"/>
        </w:rPr>
        <w:t xml:space="preserve">. </w:t>
      </w:r>
      <w:r w:rsidR="0097477B" w:rsidRPr="008D5D2B">
        <w:rPr>
          <w:rFonts w:asciiTheme="majorBidi" w:hAnsiTheme="majorBidi" w:cstheme="majorBidi"/>
          <w:sz w:val="24"/>
          <w:szCs w:val="24"/>
          <w:lang w:val="en-US"/>
        </w:rPr>
        <w:t xml:space="preserve">In young adult animals, we measured free ethanol consumption in the two-bottle choice paradigm, </w:t>
      </w:r>
      <w:r w:rsidR="008D5D2B" w:rsidRPr="008D5D2B">
        <w:rPr>
          <w:rFonts w:asciiTheme="majorBidi" w:hAnsiTheme="majorBidi" w:cstheme="majorBidi"/>
          <w:sz w:val="24"/>
          <w:szCs w:val="24"/>
          <w:lang w:val="en-US"/>
        </w:rPr>
        <w:t>both ethanol’s</w:t>
      </w:r>
      <w:r w:rsidR="0097477B" w:rsidRPr="008D5D2B">
        <w:rPr>
          <w:rFonts w:asciiTheme="majorBidi" w:hAnsiTheme="majorBidi" w:cstheme="majorBidi"/>
          <w:sz w:val="24"/>
          <w:szCs w:val="24"/>
          <w:lang w:val="en-US"/>
        </w:rPr>
        <w:t xml:space="preserve"> rewarding and aversive properties in the conditioned place preference (CPP) and taste aversion (CTA) paradigms.</w:t>
      </w:r>
      <w:r w:rsidR="002115EA" w:rsidRPr="008D5D2B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2115EA" w:rsidRPr="00ED194C">
        <w:rPr>
          <w:rFonts w:asciiTheme="majorBidi" w:hAnsiTheme="majorBidi" w:cstheme="majorBidi"/>
          <w:sz w:val="24"/>
          <w:szCs w:val="24"/>
        </w:rPr>
        <w:t xml:space="preserve">General </w:t>
      </w:r>
      <w:proofErr w:type="spellStart"/>
      <w:r w:rsidR="002115EA" w:rsidRPr="00ED194C">
        <w:rPr>
          <w:rFonts w:asciiTheme="majorBidi" w:hAnsiTheme="majorBidi" w:cstheme="majorBidi"/>
          <w:sz w:val="24"/>
          <w:szCs w:val="24"/>
        </w:rPr>
        <w:t>hyperactivity</w:t>
      </w:r>
      <w:proofErr w:type="spellEnd"/>
      <w:r w:rsidR="002115EA" w:rsidRPr="00ED194C">
        <w:rPr>
          <w:rFonts w:asciiTheme="majorBidi" w:hAnsiTheme="majorBidi" w:cstheme="majorBidi"/>
          <w:sz w:val="24"/>
          <w:szCs w:val="24"/>
        </w:rPr>
        <w:t xml:space="preserve">, convulsive </w:t>
      </w:r>
      <w:proofErr w:type="spellStart"/>
      <w:r w:rsidR="002115EA" w:rsidRPr="00ED194C">
        <w:rPr>
          <w:rFonts w:asciiTheme="majorBidi" w:hAnsiTheme="majorBidi" w:cstheme="majorBidi"/>
          <w:sz w:val="24"/>
          <w:szCs w:val="24"/>
        </w:rPr>
        <w:t>behavior</w:t>
      </w:r>
      <w:proofErr w:type="spellEnd"/>
      <w:r w:rsidR="002115EA" w:rsidRPr="00ED194C">
        <w:rPr>
          <w:rFonts w:asciiTheme="majorBidi" w:hAnsiTheme="majorBidi" w:cstheme="majorBidi"/>
          <w:sz w:val="24"/>
          <w:szCs w:val="24"/>
        </w:rPr>
        <w:t xml:space="preserve"> and withdrawal disorders were also measured in adulthood.</w:t>
      </w:r>
    </w:p>
    <w:p w:rsidR="008D5D2B" w:rsidRDefault="00557166" w:rsidP="008D5D2B">
      <w:pPr>
        <w:autoSpaceDE w:val="0"/>
        <w:autoSpaceDN w:val="0"/>
        <w:adjustRightInd w:val="0"/>
        <w:spacing w:before="240"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D5D2B">
        <w:rPr>
          <w:rFonts w:asciiTheme="majorBidi" w:hAnsiTheme="majorBidi" w:cstheme="majorBidi"/>
          <w:sz w:val="24"/>
          <w:szCs w:val="24"/>
          <w:lang w:val="en-US"/>
        </w:rPr>
        <w:t xml:space="preserve">The results of this work showed that adult animals exposed to alcohol intoxication in adolescence consume more alcohol than control animals (p &lt;0.01).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Interestingly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our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study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194C">
        <w:rPr>
          <w:rFonts w:asciiTheme="majorBidi" w:hAnsiTheme="majorBidi" w:cstheme="majorBidi"/>
          <w:sz w:val="24"/>
          <w:szCs w:val="24"/>
        </w:rPr>
        <w:t>demonstrated</w:t>
      </w:r>
      <w:proofErr w:type="spellEnd"/>
      <w:r w:rsidRPr="00ED194C">
        <w:rPr>
          <w:rFonts w:asciiTheme="majorBidi" w:hAnsiTheme="majorBidi" w:cstheme="majorBidi"/>
          <w:sz w:val="24"/>
          <w:szCs w:val="24"/>
        </w:rPr>
        <w:t xml:space="preserve"> that this vulnerability to alcohol consumption (preference, reward, tolerance) decreased significantly (p &lt;0.001) in adulthood when these rats were supplemented early in childhood by the AO.</w:t>
      </w:r>
      <w:r w:rsidR="00ED194C" w:rsidRPr="00ED194C">
        <w:rPr>
          <w:rFonts w:asciiTheme="majorBidi" w:hAnsiTheme="majorBidi" w:cstheme="majorBidi"/>
          <w:sz w:val="24"/>
          <w:szCs w:val="24"/>
        </w:rPr>
        <w:t xml:space="preserve"> Symptoms of withdrawal, induced by ethanol after abstinence in alcohol-dependent rats, were also reduced by AO. </w:t>
      </w:r>
      <w:r w:rsidR="00ED194C" w:rsidRPr="008D5D2B">
        <w:rPr>
          <w:rFonts w:asciiTheme="majorBidi" w:hAnsiTheme="majorBidi" w:cstheme="majorBidi"/>
          <w:sz w:val="24"/>
          <w:szCs w:val="24"/>
          <w:lang w:val="en-US"/>
        </w:rPr>
        <w:t xml:space="preserve">These results suggest that this dietary oil could be used in a nutritional prevention approach to prevent and / or treat the progression of neurological disorders related </w:t>
      </w:r>
      <w:r w:rsidR="008D5D2B" w:rsidRPr="008D5D2B">
        <w:rPr>
          <w:rFonts w:asciiTheme="majorBidi" w:hAnsiTheme="majorBidi" w:cstheme="majorBidi"/>
          <w:sz w:val="24"/>
          <w:szCs w:val="24"/>
          <w:lang w:val="en-US"/>
        </w:rPr>
        <w:t>to alcohol abuse in adolescence.</w:t>
      </w:r>
    </w:p>
    <w:p w:rsidR="00ED194C" w:rsidRPr="00ED194C" w:rsidRDefault="00ED194C" w:rsidP="008D5D2B">
      <w:pPr>
        <w:autoSpaceDE w:val="0"/>
        <w:autoSpaceDN w:val="0"/>
        <w:adjustRightInd w:val="0"/>
        <w:spacing w:before="240"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 </w:t>
      </w:r>
      <w:proofErr w:type="gramStart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>words :</w:t>
      </w:r>
      <w:proofErr w:type="gramEnd"/>
      <w:r w:rsidRPr="00ED194C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Argan oil, Neuroprotection, Ethanol, Addiction, Rat Wistar.</w:t>
      </w:r>
    </w:p>
    <w:sectPr w:rsidR="00ED194C" w:rsidRPr="00ED194C" w:rsidSect="00015DF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004B17"/>
    <w:rsid w:val="00004B17"/>
    <w:rsid w:val="00015DF2"/>
    <w:rsid w:val="002115EA"/>
    <w:rsid w:val="002D665D"/>
    <w:rsid w:val="003E3A40"/>
    <w:rsid w:val="004C37D3"/>
    <w:rsid w:val="00557166"/>
    <w:rsid w:val="008D3E13"/>
    <w:rsid w:val="008D5D2B"/>
    <w:rsid w:val="00915C19"/>
    <w:rsid w:val="00936ACC"/>
    <w:rsid w:val="0097477B"/>
    <w:rsid w:val="00995261"/>
    <w:rsid w:val="00B701D0"/>
    <w:rsid w:val="00CC5910"/>
    <w:rsid w:val="00DA07AC"/>
    <w:rsid w:val="00ED194C"/>
    <w:rsid w:val="00F94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D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D19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341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 MOSTAFI HICHAM</dc:creator>
  <cp:lastModifiedBy>EL MOSTAFI HICHAM</cp:lastModifiedBy>
  <cp:revision>8</cp:revision>
  <dcterms:created xsi:type="dcterms:W3CDTF">2017-07-20T12:49:00Z</dcterms:created>
  <dcterms:modified xsi:type="dcterms:W3CDTF">2017-07-20T13:50:00Z</dcterms:modified>
</cp:coreProperties>
</file>