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D24" w:rsidRPr="006043FB" w:rsidRDefault="00D70D24" w:rsidP="00D70D24">
      <w:pPr>
        <w:spacing w:after="0" w:line="480" w:lineRule="auto"/>
        <w:jc w:val="center"/>
        <w:rPr>
          <w:rFonts w:ascii="Times New Roman" w:eastAsia="Arial Unicode MS" w:hAnsi="Times New Roman"/>
          <w:b/>
          <w:bCs/>
          <w:kern w:val="36"/>
          <w:sz w:val="24"/>
          <w:szCs w:val="24"/>
        </w:rPr>
      </w:pPr>
      <w:r w:rsidRPr="006043FB">
        <w:rPr>
          <w:rFonts w:ascii="Times New Roman" w:eastAsia="Arial Unicode MS" w:hAnsi="Times New Roman"/>
          <w:b/>
          <w:bCs/>
          <w:kern w:val="36"/>
          <w:sz w:val="24"/>
          <w:szCs w:val="24"/>
        </w:rPr>
        <w:t xml:space="preserve">Role of nitric oxide and KATP channel in the effect of nicorandil in bile duct ligation-induced liver fibrosis </w:t>
      </w:r>
    </w:p>
    <w:p w:rsidR="00D70D24" w:rsidRDefault="00D70D24" w:rsidP="00D70D24">
      <w:pPr>
        <w:tabs>
          <w:tab w:val="num" w:pos="900"/>
        </w:tabs>
        <w:spacing w:after="0" w:line="480" w:lineRule="auto"/>
        <w:ind w:firstLine="284"/>
        <w:jc w:val="both"/>
        <w:rPr>
          <w:rFonts w:ascii="Times New Roman" w:hAnsi="Times New Roman"/>
          <w:sz w:val="24"/>
          <w:szCs w:val="24"/>
        </w:rPr>
      </w:pPr>
    </w:p>
    <w:p w:rsidR="00D70D24" w:rsidRPr="006043FB" w:rsidRDefault="00D70D24" w:rsidP="00D70D24">
      <w:pPr>
        <w:tabs>
          <w:tab w:val="num" w:pos="900"/>
        </w:tabs>
        <w:spacing w:after="0" w:line="480" w:lineRule="auto"/>
        <w:ind w:firstLine="284"/>
        <w:jc w:val="both"/>
        <w:rPr>
          <w:rFonts w:ascii="Times New Roman" w:hAnsi="Times New Roman"/>
          <w:sz w:val="24"/>
          <w:szCs w:val="24"/>
        </w:rPr>
      </w:pPr>
      <w:r w:rsidRPr="006043FB">
        <w:rPr>
          <w:rFonts w:ascii="Times New Roman" w:hAnsi="Times New Roman"/>
          <w:sz w:val="24"/>
          <w:szCs w:val="24"/>
        </w:rPr>
        <w:t xml:space="preserve">Liver Fibrosis is one of the most serious conditions affecting the Egyptian society. In the present study, the role of nitric oxide and KATP channel was investigated for the first time in </w:t>
      </w:r>
      <w:r w:rsidRPr="0011674A">
        <w:rPr>
          <w:rFonts w:ascii="Times New Roman" w:hAnsi="Times New Roman"/>
          <w:sz w:val="24"/>
          <w:szCs w:val="24"/>
        </w:rPr>
        <w:t>the possible protection mediated</w:t>
      </w:r>
      <w:r w:rsidRPr="006043FB">
        <w:rPr>
          <w:rFonts w:ascii="Times New Roman" w:hAnsi="Times New Roman"/>
          <w:sz w:val="24"/>
          <w:szCs w:val="24"/>
        </w:rPr>
        <w:t xml:space="preserve"> by nicorandil in bile duct ligation-induced liver fibrosis in rats. Nicorandil (3mg/kg/day) was given orally 24 h after bile duct ligation for 14 days till the end of the experiment. Nicorandil group showed a significant improvement in liver function tests as well as a significant amelioration of hepatic oxidative stress biomarkers (</w:t>
      </w:r>
      <w:proofErr w:type="spellStart"/>
      <w:r w:rsidRPr="006043FB">
        <w:rPr>
          <w:rFonts w:ascii="Times New Roman" w:hAnsi="Times New Roman"/>
          <w:sz w:val="24"/>
          <w:szCs w:val="24"/>
        </w:rPr>
        <w:t>thiobarbituric</w:t>
      </w:r>
      <w:proofErr w:type="spellEnd"/>
      <w:r w:rsidRPr="006043FB">
        <w:rPr>
          <w:rFonts w:ascii="Times New Roman" w:hAnsi="Times New Roman"/>
          <w:sz w:val="24"/>
          <w:szCs w:val="24"/>
        </w:rPr>
        <w:t xml:space="preserve"> acid reactive substances and reduced glutathione), activated </w:t>
      </w:r>
      <w:proofErr w:type="spellStart"/>
      <w:r w:rsidRPr="006043FB">
        <w:rPr>
          <w:rFonts w:ascii="Times New Roman" w:hAnsi="Times New Roman"/>
          <w:sz w:val="24"/>
          <w:szCs w:val="24"/>
        </w:rPr>
        <w:t>phosphorylated</w:t>
      </w:r>
      <w:proofErr w:type="spellEnd"/>
      <w:r w:rsidRPr="006043FB">
        <w:rPr>
          <w:rFonts w:ascii="Times New Roman" w:hAnsi="Times New Roman"/>
          <w:sz w:val="24"/>
          <w:szCs w:val="24"/>
        </w:rPr>
        <w:t xml:space="preserve"> protein kinase-C and platelet derived growth factor, inflammatory markers (</w:t>
      </w:r>
      <w:proofErr w:type="spellStart"/>
      <w:r w:rsidRPr="006043FB">
        <w:rPr>
          <w:rFonts w:ascii="Times New Roman" w:hAnsi="Times New Roman"/>
          <w:sz w:val="24"/>
          <w:szCs w:val="24"/>
        </w:rPr>
        <w:t>myeloperoxidase</w:t>
      </w:r>
      <w:proofErr w:type="spellEnd"/>
      <w:r w:rsidRPr="006043FB">
        <w:rPr>
          <w:rFonts w:ascii="Times New Roman" w:hAnsi="Times New Roman"/>
          <w:sz w:val="24"/>
          <w:szCs w:val="24"/>
        </w:rPr>
        <w:t xml:space="preserve"> activity, tumor necrosis-alpha), inducible and endothelial nitric oxide </w:t>
      </w:r>
      <w:proofErr w:type="spellStart"/>
      <w:r w:rsidRPr="006043FB">
        <w:rPr>
          <w:rFonts w:ascii="Times New Roman" w:hAnsi="Times New Roman"/>
          <w:sz w:val="24"/>
          <w:szCs w:val="24"/>
        </w:rPr>
        <w:t>synthase</w:t>
      </w:r>
      <w:proofErr w:type="spellEnd"/>
      <w:r w:rsidRPr="006043FB">
        <w:rPr>
          <w:rFonts w:ascii="Times New Roman" w:hAnsi="Times New Roman"/>
          <w:sz w:val="24"/>
          <w:szCs w:val="24"/>
        </w:rPr>
        <w:t xml:space="preserve"> protein expression. Furthermore, nicorandil administration lead to significant decrement of fibrosis and hepatic stellate cells activation as indicated by decreased expression of alpha smooth muscle actin. Oral co-administration of glibenclamide (10 mg/kg/day) (a KATP channel blocker) with nicorandil mostly showed similar improvement to that of nicorandil group. However, co-</w:t>
      </w:r>
      <w:proofErr w:type="spellStart"/>
      <w:r w:rsidRPr="006043FB">
        <w:rPr>
          <w:rFonts w:ascii="Times New Roman" w:hAnsi="Times New Roman"/>
          <w:sz w:val="24"/>
          <w:szCs w:val="24"/>
        </w:rPr>
        <w:t>adminstration</w:t>
      </w:r>
      <w:proofErr w:type="spellEnd"/>
      <w:r w:rsidRPr="006043FB">
        <w:rPr>
          <w:rFonts w:ascii="Times New Roman" w:hAnsi="Times New Roman"/>
          <w:sz w:val="24"/>
          <w:szCs w:val="24"/>
        </w:rPr>
        <w:t xml:space="preserve"> of L-NAME (30 mg/kg/day) (an inhibitor of nitric oxide </w:t>
      </w:r>
      <w:proofErr w:type="spellStart"/>
      <w:r w:rsidRPr="006043FB">
        <w:rPr>
          <w:rFonts w:ascii="Times New Roman" w:hAnsi="Times New Roman"/>
          <w:sz w:val="24"/>
          <w:szCs w:val="24"/>
        </w:rPr>
        <w:t>synthase</w:t>
      </w:r>
      <w:proofErr w:type="spellEnd"/>
      <w:r w:rsidRPr="006043FB">
        <w:rPr>
          <w:rFonts w:ascii="Times New Roman" w:hAnsi="Times New Roman"/>
          <w:sz w:val="24"/>
          <w:szCs w:val="24"/>
        </w:rPr>
        <w:t xml:space="preserve">) blocked the protective effects of nicorandil and produced more or less similar results to that of untreated bile duct </w:t>
      </w:r>
      <w:proofErr w:type="spellStart"/>
      <w:r w:rsidRPr="006043FB">
        <w:rPr>
          <w:rFonts w:ascii="Times New Roman" w:hAnsi="Times New Roman"/>
          <w:sz w:val="24"/>
          <w:szCs w:val="24"/>
        </w:rPr>
        <w:t>ligated</w:t>
      </w:r>
      <w:proofErr w:type="spellEnd"/>
      <w:r w:rsidRPr="006043FB">
        <w:rPr>
          <w:rFonts w:ascii="Times New Roman" w:hAnsi="Times New Roman"/>
          <w:sz w:val="24"/>
          <w:szCs w:val="24"/>
        </w:rPr>
        <w:t xml:space="preserve"> group. In conclusion, nicorandil is an effective therapy against development of bile duct ligation-</w:t>
      </w:r>
      <w:r>
        <w:rPr>
          <w:rFonts w:ascii="Times New Roman" w:hAnsi="Times New Roman"/>
          <w:sz w:val="24"/>
          <w:szCs w:val="24"/>
        </w:rPr>
        <w:t>induced</w:t>
      </w:r>
      <w:r w:rsidRPr="006043FB">
        <w:rPr>
          <w:rFonts w:ascii="Times New Roman" w:hAnsi="Times New Roman"/>
          <w:sz w:val="24"/>
          <w:szCs w:val="24"/>
        </w:rPr>
        <w:t xml:space="preserve"> liver fibrosis in rats where nitric oxide plays a more prominent role in the protective effect of nicorandil than KATP channel</w:t>
      </w:r>
      <w:r>
        <w:rPr>
          <w:rFonts w:ascii="Times New Roman" w:hAnsi="Times New Roman"/>
          <w:sz w:val="24"/>
          <w:szCs w:val="24"/>
        </w:rPr>
        <w:t xml:space="preserve"> opening</w:t>
      </w:r>
      <w:r w:rsidRPr="006043FB">
        <w:rPr>
          <w:rFonts w:ascii="Times New Roman" w:hAnsi="Times New Roman"/>
          <w:sz w:val="24"/>
          <w:szCs w:val="24"/>
        </w:rPr>
        <w:t>.</w:t>
      </w:r>
    </w:p>
    <w:p w:rsidR="00D70D24" w:rsidRPr="006305B7" w:rsidRDefault="00D70D24" w:rsidP="00D70D24">
      <w:pPr>
        <w:tabs>
          <w:tab w:val="num" w:pos="900"/>
        </w:tabs>
        <w:spacing w:after="0" w:line="480" w:lineRule="auto"/>
        <w:jc w:val="both"/>
        <w:rPr>
          <w:rFonts w:ascii="Times New Roman" w:hAnsi="Times New Roman"/>
          <w:sz w:val="24"/>
          <w:szCs w:val="24"/>
        </w:rPr>
      </w:pPr>
      <w:r w:rsidRPr="006305B7">
        <w:rPr>
          <w:rFonts w:ascii="Times New Roman" w:hAnsi="Times New Roman"/>
          <w:b/>
          <w:bCs/>
          <w:sz w:val="24"/>
          <w:szCs w:val="24"/>
        </w:rPr>
        <w:t>Key words:</w:t>
      </w:r>
      <w:r>
        <w:rPr>
          <w:rFonts w:ascii="Times New Roman" w:hAnsi="Times New Roman"/>
          <w:sz w:val="24"/>
          <w:szCs w:val="24"/>
        </w:rPr>
        <w:t xml:space="preserve"> glibenclamide; liver</w:t>
      </w:r>
      <w:r w:rsidRPr="006305B7">
        <w:rPr>
          <w:rFonts w:ascii="Times New Roman" w:hAnsi="Times New Roman"/>
          <w:sz w:val="24"/>
          <w:szCs w:val="24"/>
        </w:rPr>
        <w:t xml:space="preserve"> fibrosis;</w:t>
      </w:r>
      <w:r>
        <w:rPr>
          <w:rFonts w:ascii="Times New Roman" w:hAnsi="Times New Roman"/>
          <w:sz w:val="24"/>
          <w:szCs w:val="24"/>
        </w:rPr>
        <w:t xml:space="preserve"> KATP channel; nicorandil</w:t>
      </w:r>
      <w:r w:rsidRPr="006305B7">
        <w:rPr>
          <w:rFonts w:ascii="Times New Roman" w:hAnsi="Times New Roman"/>
          <w:sz w:val="24"/>
          <w:szCs w:val="24"/>
        </w:rPr>
        <w:t>.</w:t>
      </w:r>
    </w:p>
    <w:p w:rsidR="00B20E55" w:rsidRDefault="00B20E55"/>
    <w:sectPr w:rsidR="00B20E55" w:rsidSect="00B20E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0D24"/>
    <w:rsid w:val="00014507"/>
    <w:rsid w:val="00017E07"/>
    <w:rsid w:val="00036CA4"/>
    <w:rsid w:val="000370FA"/>
    <w:rsid w:val="000703F0"/>
    <w:rsid w:val="00093EF6"/>
    <w:rsid w:val="00096976"/>
    <w:rsid w:val="0009791C"/>
    <w:rsid w:val="000C20D3"/>
    <w:rsid w:val="000C3427"/>
    <w:rsid w:val="000C6EFB"/>
    <w:rsid w:val="000D28E1"/>
    <w:rsid w:val="000D3D30"/>
    <w:rsid w:val="000E7C7B"/>
    <w:rsid w:val="000F489E"/>
    <w:rsid w:val="00111852"/>
    <w:rsid w:val="00124959"/>
    <w:rsid w:val="001307C0"/>
    <w:rsid w:val="00136252"/>
    <w:rsid w:val="001648A7"/>
    <w:rsid w:val="001654BC"/>
    <w:rsid w:val="0017180A"/>
    <w:rsid w:val="001A2E01"/>
    <w:rsid w:val="001A5128"/>
    <w:rsid w:val="001B12C3"/>
    <w:rsid w:val="001B3353"/>
    <w:rsid w:val="001C26DB"/>
    <w:rsid w:val="001C64C3"/>
    <w:rsid w:val="001D4754"/>
    <w:rsid w:val="00211CFF"/>
    <w:rsid w:val="0021531D"/>
    <w:rsid w:val="00215F7D"/>
    <w:rsid w:val="002215F6"/>
    <w:rsid w:val="0025548E"/>
    <w:rsid w:val="00277006"/>
    <w:rsid w:val="00280F01"/>
    <w:rsid w:val="002863D5"/>
    <w:rsid w:val="002A3FD3"/>
    <w:rsid w:val="002B1A08"/>
    <w:rsid w:val="002C13D1"/>
    <w:rsid w:val="002C5A91"/>
    <w:rsid w:val="002C768F"/>
    <w:rsid w:val="00306B45"/>
    <w:rsid w:val="003306C3"/>
    <w:rsid w:val="003405BB"/>
    <w:rsid w:val="00370AE0"/>
    <w:rsid w:val="00373B5B"/>
    <w:rsid w:val="00374125"/>
    <w:rsid w:val="003B0591"/>
    <w:rsid w:val="003B66B2"/>
    <w:rsid w:val="003B785F"/>
    <w:rsid w:val="003D3D41"/>
    <w:rsid w:val="003E4996"/>
    <w:rsid w:val="004130B2"/>
    <w:rsid w:val="00413255"/>
    <w:rsid w:val="00421F73"/>
    <w:rsid w:val="004272B7"/>
    <w:rsid w:val="00430D0D"/>
    <w:rsid w:val="00443FCA"/>
    <w:rsid w:val="00473F3F"/>
    <w:rsid w:val="00480C2B"/>
    <w:rsid w:val="004A20A4"/>
    <w:rsid w:val="004A4596"/>
    <w:rsid w:val="004C5EA4"/>
    <w:rsid w:val="004D3D3B"/>
    <w:rsid w:val="004F1869"/>
    <w:rsid w:val="004F6119"/>
    <w:rsid w:val="00523584"/>
    <w:rsid w:val="0054674C"/>
    <w:rsid w:val="0055648D"/>
    <w:rsid w:val="00565A70"/>
    <w:rsid w:val="0057407A"/>
    <w:rsid w:val="00585DFD"/>
    <w:rsid w:val="00587FC6"/>
    <w:rsid w:val="00590B3C"/>
    <w:rsid w:val="005A0A3A"/>
    <w:rsid w:val="005A3034"/>
    <w:rsid w:val="005E1BBD"/>
    <w:rsid w:val="005E3E86"/>
    <w:rsid w:val="0060284A"/>
    <w:rsid w:val="0061064B"/>
    <w:rsid w:val="006154AC"/>
    <w:rsid w:val="006401AF"/>
    <w:rsid w:val="00642E0E"/>
    <w:rsid w:val="00674F4F"/>
    <w:rsid w:val="006774ED"/>
    <w:rsid w:val="006B1BBD"/>
    <w:rsid w:val="00714474"/>
    <w:rsid w:val="007240E1"/>
    <w:rsid w:val="007505C7"/>
    <w:rsid w:val="007572AA"/>
    <w:rsid w:val="007603EB"/>
    <w:rsid w:val="007769A2"/>
    <w:rsid w:val="00795206"/>
    <w:rsid w:val="007D2885"/>
    <w:rsid w:val="007F2BA0"/>
    <w:rsid w:val="00800C8B"/>
    <w:rsid w:val="00802EEC"/>
    <w:rsid w:val="00824079"/>
    <w:rsid w:val="00852ABE"/>
    <w:rsid w:val="00864CA6"/>
    <w:rsid w:val="008671E4"/>
    <w:rsid w:val="0087376B"/>
    <w:rsid w:val="00880BAA"/>
    <w:rsid w:val="008A757D"/>
    <w:rsid w:val="008B3E25"/>
    <w:rsid w:val="008C03EF"/>
    <w:rsid w:val="00900293"/>
    <w:rsid w:val="00903EC5"/>
    <w:rsid w:val="00910D7B"/>
    <w:rsid w:val="00927774"/>
    <w:rsid w:val="009343D6"/>
    <w:rsid w:val="009353F6"/>
    <w:rsid w:val="009375FA"/>
    <w:rsid w:val="009A1E9A"/>
    <w:rsid w:val="009C08FE"/>
    <w:rsid w:val="009C3EED"/>
    <w:rsid w:val="009D533F"/>
    <w:rsid w:val="009F327E"/>
    <w:rsid w:val="009F500C"/>
    <w:rsid w:val="00A160F7"/>
    <w:rsid w:val="00A749C4"/>
    <w:rsid w:val="00A97DA6"/>
    <w:rsid w:val="00AA7938"/>
    <w:rsid w:val="00AB043A"/>
    <w:rsid w:val="00AB7B3D"/>
    <w:rsid w:val="00AE0875"/>
    <w:rsid w:val="00AF10A5"/>
    <w:rsid w:val="00B052AF"/>
    <w:rsid w:val="00B0793D"/>
    <w:rsid w:val="00B20E55"/>
    <w:rsid w:val="00B26C9A"/>
    <w:rsid w:val="00B305D5"/>
    <w:rsid w:val="00B46C5E"/>
    <w:rsid w:val="00B51243"/>
    <w:rsid w:val="00BC3544"/>
    <w:rsid w:val="00C04587"/>
    <w:rsid w:val="00C127F7"/>
    <w:rsid w:val="00C15C5F"/>
    <w:rsid w:val="00C16541"/>
    <w:rsid w:val="00C20BBF"/>
    <w:rsid w:val="00C32B0F"/>
    <w:rsid w:val="00C361A5"/>
    <w:rsid w:val="00C40F79"/>
    <w:rsid w:val="00C61EA2"/>
    <w:rsid w:val="00C62BBA"/>
    <w:rsid w:val="00C67DC6"/>
    <w:rsid w:val="00C77E78"/>
    <w:rsid w:val="00C84697"/>
    <w:rsid w:val="00C87D19"/>
    <w:rsid w:val="00CA5635"/>
    <w:rsid w:val="00CC7ED6"/>
    <w:rsid w:val="00CE4F47"/>
    <w:rsid w:val="00D00E65"/>
    <w:rsid w:val="00D05BED"/>
    <w:rsid w:val="00D14842"/>
    <w:rsid w:val="00D310FE"/>
    <w:rsid w:val="00D43FB4"/>
    <w:rsid w:val="00D45A3E"/>
    <w:rsid w:val="00D46993"/>
    <w:rsid w:val="00D66B9B"/>
    <w:rsid w:val="00D70561"/>
    <w:rsid w:val="00D70D24"/>
    <w:rsid w:val="00D9112D"/>
    <w:rsid w:val="00D96E52"/>
    <w:rsid w:val="00DC273B"/>
    <w:rsid w:val="00DC6B13"/>
    <w:rsid w:val="00DC76EC"/>
    <w:rsid w:val="00DF2A84"/>
    <w:rsid w:val="00E43360"/>
    <w:rsid w:val="00E51D92"/>
    <w:rsid w:val="00E65869"/>
    <w:rsid w:val="00E7134A"/>
    <w:rsid w:val="00E716E2"/>
    <w:rsid w:val="00E8583C"/>
    <w:rsid w:val="00E86705"/>
    <w:rsid w:val="00E90EDA"/>
    <w:rsid w:val="00EB25B1"/>
    <w:rsid w:val="00ED4B9F"/>
    <w:rsid w:val="00EF2A28"/>
    <w:rsid w:val="00EF5B7A"/>
    <w:rsid w:val="00F067DA"/>
    <w:rsid w:val="00F10D80"/>
    <w:rsid w:val="00F2208A"/>
    <w:rsid w:val="00F31ED8"/>
    <w:rsid w:val="00F41E2E"/>
    <w:rsid w:val="00F51781"/>
    <w:rsid w:val="00F708B4"/>
    <w:rsid w:val="00F7652E"/>
    <w:rsid w:val="00F814E4"/>
    <w:rsid w:val="00F854AB"/>
    <w:rsid w:val="00F86CEE"/>
    <w:rsid w:val="00F87AA7"/>
    <w:rsid w:val="00FB6636"/>
    <w:rsid w:val="00FC18F2"/>
    <w:rsid w:val="00FC2935"/>
    <w:rsid w:val="00FD0A88"/>
    <w:rsid w:val="00FD1D72"/>
    <w:rsid w:val="00FD72FA"/>
    <w:rsid w:val="00FE2C0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D24"/>
    <w:pPr>
      <w:spacing w:line="252" w:lineRule="auto"/>
    </w:pPr>
    <w:rPr>
      <w:rFonts w:ascii="Cambria" w:eastAsia="Calibri"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DR_YASMIN</dc:creator>
  <cp:lastModifiedBy>DR_YASMIN</cp:lastModifiedBy>
  <cp:revision>1</cp:revision>
  <dcterms:created xsi:type="dcterms:W3CDTF">2019-05-01T00:29:00Z</dcterms:created>
  <dcterms:modified xsi:type="dcterms:W3CDTF">2019-05-01T00:30:00Z</dcterms:modified>
</cp:coreProperties>
</file>