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C84" w:rsidRPr="0037661A" w:rsidRDefault="003E0C84" w:rsidP="003E0C84">
      <w:pPr>
        <w:bidi w:val="0"/>
        <w:spacing w:line="360" w:lineRule="auto"/>
        <w:jc w:val="both"/>
        <w:rPr>
          <w:rFonts w:asciiTheme="majorBidi" w:hAnsiTheme="majorBidi" w:cstheme="majorBidi"/>
          <w:sz w:val="32"/>
          <w:szCs w:val="32"/>
        </w:rPr>
      </w:pPr>
      <w:proofErr w:type="gramStart"/>
      <w:r w:rsidRPr="0037661A">
        <w:rPr>
          <w:rFonts w:asciiTheme="majorBidi" w:hAnsiTheme="majorBidi" w:cstheme="majorBidi"/>
          <w:sz w:val="32"/>
          <w:szCs w:val="32"/>
        </w:rPr>
        <w:t xml:space="preserve">Comparison the effect of </w:t>
      </w:r>
      <w:proofErr w:type="spellStart"/>
      <w:r w:rsidRPr="0037661A">
        <w:rPr>
          <w:rFonts w:asciiTheme="majorBidi" w:hAnsiTheme="majorBidi" w:cstheme="majorBidi"/>
          <w:sz w:val="32"/>
          <w:szCs w:val="32"/>
        </w:rPr>
        <w:t>Teucrium</w:t>
      </w:r>
      <w:proofErr w:type="spellEnd"/>
      <w:r w:rsidRPr="0037661A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37661A">
        <w:rPr>
          <w:rFonts w:asciiTheme="majorBidi" w:hAnsiTheme="majorBidi" w:cstheme="majorBidi"/>
          <w:sz w:val="32"/>
          <w:szCs w:val="32"/>
        </w:rPr>
        <w:t>Polium</w:t>
      </w:r>
      <w:proofErr w:type="spellEnd"/>
      <w:r w:rsidRPr="0037661A">
        <w:rPr>
          <w:rStyle w:val="binomial"/>
          <w:rFonts w:asciiTheme="majorBidi" w:hAnsiTheme="majorBidi" w:cstheme="majorBidi"/>
          <w:sz w:val="32"/>
          <w:szCs w:val="32"/>
        </w:rPr>
        <w:t xml:space="preserve"> and </w:t>
      </w:r>
      <w:proofErr w:type="spellStart"/>
      <w:r w:rsidRPr="0037661A">
        <w:rPr>
          <w:rStyle w:val="binomial"/>
          <w:rFonts w:asciiTheme="majorBidi" w:hAnsiTheme="majorBidi" w:cstheme="majorBidi"/>
          <w:sz w:val="32"/>
          <w:szCs w:val="32"/>
        </w:rPr>
        <w:t>Foeniculum</w:t>
      </w:r>
      <w:proofErr w:type="spellEnd"/>
      <w:r w:rsidRPr="0037661A">
        <w:rPr>
          <w:rStyle w:val="binomial"/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37661A">
        <w:rPr>
          <w:rStyle w:val="binomial"/>
          <w:rFonts w:asciiTheme="majorBidi" w:hAnsiTheme="majorBidi" w:cstheme="majorBidi"/>
          <w:sz w:val="32"/>
          <w:szCs w:val="32"/>
        </w:rPr>
        <w:t>vulgare</w:t>
      </w:r>
      <w:proofErr w:type="spellEnd"/>
      <w:r w:rsidRPr="0037661A">
        <w:rPr>
          <w:rFonts w:asciiTheme="majorBidi" w:hAnsiTheme="majorBidi" w:cstheme="majorBidi"/>
          <w:sz w:val="32"/>
          <w:szCs w:val="32"/>
        </w:rPr>
        <w:t xml:space="preserve"> and Achilles </w:t>
      </w:r>
      <w:proofErr w:type="spellStart"/>
      <w:r w:rsidRPr="0037661A">
        <w:rPr>
          <w:rFonts w:asciiTheme="majorBidi" w:hAnsiTheme="majorBidi" w:cstheme="majorBidi"/>
          <w:sz w:val="32"/>
          <w:szCs w:val="32"/>
        </w:rPr>
        <w:t>millefolium</w:t>
      </w:r>
      <w:proofErr w:type="spellEnd"/>
      <w:r w:rsidRPr="0037661A">
        <w:rPr>
          <w:rFonts w:asciiTheme="majorBidi" w:hAnsiTheme="majorBidi" w:cstheme="majorBidi"/>
          <w:sz w:val="32"/>
          <w:szCs w:val="32"/>
        </w:rPr>
        <w:t xml:space="preserve"> on primary </w:t>
      </w:r>
      <w:proofErr w:type="spellStart"/>
      <w:r w:rsidRPr="0037661A">
        <w:rPr>
          <w:rFonts w:asciiTheme="majorBidi" w:hAnsiTheme="majorBidi" w:cstheme="majorBidi"/>
          <w:sz w:val="32"/>
          <w:szCs w:val="32"/>
        </w:rPr>
        <w:t>dysmenorrhea</w:t>
      </w:r>
      <w:proofErr w:type="spellEnd"/>
      <w:r w:rsidRPr="0037661A">
        <w:rPr>
          <w:rFonts w:asciiTheme="majorBidi" w:hAnsiTheme="majorBidi" w:cstheme="majorBidi"/>
          <w:sz w:val="32"/>
          <w:szCs w:val="32"/>
        </w:rPr>
        <w:t>.</w:t>
      </w:r>
      <w:proofErr w:type="gramEnd"/>
    </w:p>
    <w:p w:rsidR="003E0C84" w:rsidRPr="0037661A" w:rsidRDefault="003E0C84" w:rsidP="003E0C84">
      <w:pPr>
        <w:bidi w:val="0"/>
        <w:spacing w:after="0" w:line="240" w:lineRule="auto"/>
        <w:jc w:val="both"/>
        <w:rPr>
          <w:rFonts w:asciiTheme="majorBidi" w:eastAsia="Arial Unicode MS" w:hAnsiTheme="majorBidi" w:cstheme="majorBidi"/>
          <w:sz w:val="28"/>
          <w:szCs w:val="28"/>
          <w:rtl/>
        </w:rPr>
      </w:pP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Abadian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Khadige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  <w:vertAlign w:val="superscript"/>
        </w:rPr>
        <w:footnoteReference w:id="1"/>
      </w:r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(M.Sc.)</w:t>
      </w:r>
      <w:proofErr w:type="gramStart"/>
      <w:r w:rsidRPr="0037661A">
        <w:rPr>
          <w:rFonts w:asciiTheme="majorBidi" w:eastAsia="Arial Unicode MS" w:hAnsiTheme="majorBidi" w:cstheme="majorBidi"/>
          <w:sz w:val="28"/>
          <w:szCs w:val="28"/>
        </w:rPr>
        <w:t>,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Keshavarz</w:t>
      </w:r>
      <w:proofErr w:type="spellEnd"/>
      <w:proofErr w:type="gramEnd"/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Zohre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>*</w:t>
      </w:r>
      <w:r w:rsidRPr="0037661A">
        <w:rPr>
          <w:rFonts w:asciiTheme="majorBidi" w:eastAsia="Arial Unicode MS" w:hAnsiTheme="majorBidi" w:cstheme="majorBidi"/>
          <w:sz w:val="28"/>
          <w:szCs w:val="28"/>
          <w:vertAlign w:val="superscript"/>
        </w:rPr>
        <w:footnoteReference w:id="2"/>
      </w:r>
      <w:r w:rsidRPr="0037661A">
        <w:rPr>
          <w:rFonts w:asciiTheme="majorBidi" w:eastAsia="Arial Unicode MS" w:hAnsiTheme="majorBidi" w:cstheme="majorBidi"/>
          <w:sz w:val="28"/>
          <w:szCs w:val="28"/>
        </w:rPr>
        <w:t>(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MD,PhD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), 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Mojab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, 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Faraz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  <w:vertAlign w:val="superscript"/>
        </w:rPr>
        <w:footnoteReference w:id="3"/>
      </w:r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(Ph.D.), 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Bromand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Nasrin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  <w:vertAlign w:val="superscript"/>
        </w:rPr>
        <w:footnoteReference w:id="4"/>
      </w:r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(Ph.D.) </w:t>
      </w:r>
    </w:p>
    <w:p w:rsidR="003E0C84" w:rsidRPr="0037661A" w:rsidRDefault="003E0C84" w:rsidP="003E0C84">
      <w:pPr>
        <w:bidi w:val="0"/>
        <w:spacing w:after="0" w:line="240" w:lineRule="auto"/>
        <w:rPr>
          <w:rFonts w:asciiTheme="majorBidi" w:eastAsia="Arial Unicode MS" w:hAnsiTheme="majorBidi" w:cstheme="majorBidi"/>
          <w:sz w:val="28"/>
          <w:szCs w:val="28"/>
        </w:rPr>
      </w:pPr>
    </w:p>
    <w:p w:rsidR="003E0C84" w:rsidRPr="0037661A" w:rsidRDefault="003E0C84" w:rsidP="003E0C84">
      <w:pPr>
        <w:bidi w:val="0"/>
        <w:spacing w:after="0" w:line="240" w:lineRule="auto"/>
        <w:jc w:val="both"/>
        <w:rPr>
          <w:rFonts w:asciiTheme="majorBidi" w:eastAsia="Arial Unicode MS" w:hAnsiTheme="majorBidi" w:cstheme="majorBidi"/>
          <w:sz w:val="28"/>
          <w:szCs w:val="28"/>
        </w:rPr>
      </w:pPr>
      <w:r w:rsidRPr="0037661A">
        <w:rPr>
          <w:rFonts w:asciiTheme="majorBidi" w:eastAsia="Arial Unicode MS" w:hAnsiTheme="majorBidi" w:cstheme="majorBidi"/>
          <w:sz w:val="28"/>
          <w:szCs w:val="28"/>
        </w:rPr>
        <w:t>1.</w:t>
      </w:r>
      <w:r w:rsidRPr="0037661A">
        <w:rPr>
          <w:rFonts w:asciiTheme="majorBidi" w:eastAsia="Arial Unicode MS" w:hAnsiTheme="majorBidi" w:cstheme="majorBidi"/>
          <w:sz w:val="28"/>
          <w:szCs w:val="28"/>
          <w:rtl/>
        </w:rPr>
        <w:t xml:space="preserve"> </w:t>
      </w:r>
      <w:r w:rsidRPr="003C2B25">
        <w:rPr>
          <w:rFonts w:asciiTheme="majorBidi" w:eastAsia="Arial Unicode MS" w:hAnsiTheme="majorBidi" w:cstheme="majorBidi"/>
          <w:sz w:val="28"/>
          <w:szCs w:val="28"/>
        </w:rPr>
        <w:t>Ph.D.</w:t>
      </w:r>
      <w:r>
        <w:rPr>
          <w:rFonts w:asciiTheme="majorBidi" w:eastAsia="Arial Unicode MS" w:hAnsiTheme="majorBidi" w:cstheme="majorBidi"/>
          <w:sz w:val="28"/>
          <w:szCs w:val="28"/>
        </w:rPr>
        <w:t xml:space="preserve"> </w:t>
      </w:r>
      <w:r w:rsidRPr="003C2B25">
        <w:rPr>
          <w:rFonts w:asciiTheme="majorBidi" w:eastAsia="Arial Unicode MS" w:hAnsiTheme="majorBidi" w:cstheme="majorBidi"/>
          <w:sz w:val="28"/>
          <w:szCs w:val="28"/>
        </w:rPr>
        <w:t xml:space="preserve">Candidate, Student’s research committee, School of Nursing and Midwifery, </w:t>
      </w:r>
      <w:proofErr w:type="spellStart"/>
      <w:r w:rsidRPr="003C2B25">
        <w:rPr>
          <w:rFonts w:asciiTheme="majorBidi" w:eastAsia="Arial Unicode MS" w:hAnsiTheme="majorBidi" w:cstheme="majorBidi"/>
          <w:sz w:val="28"/>
          <w:szCs w:val="28"/>
        </w:rPr>
        <w:t>Shahid</w:t>
      </w:r>
      <w:proofErr w:type="spellEnd"/>
      <w:r w:rsidRPr="003C2B25">
        <w:rPr>
          <w:rFonts w:asciiTheme="majorBidi" w:eastAsia="Arial Unicode MS" w:hAnsiTheme="majorBidi" w:cstheme="majorBidi"/>
          <w:sz w:val="28"/>
          <w:szCs w:val="28"/>
        </w:rPr>
        <w:t xml:space="preserve"> </w:t>
      </w:r>
      <w:proofErr w:type="spellStart"/>
      <w:r w:rsidRPr="003C2B25">
        <w:rPr>
          <w:rFonts w:asciiTheme="majorBidi" w:eastAsia="Arial Unicode MS" w:hAnsiTheme="majorBidi" w:cstheme="majorBidi"/>
          <w:sz w:val="28"/>
          <w:szCs w:val="28"/>
        </w:rPr>
        <w:t>Beheshti</w:t>
      </w:r>
      <w:proofErr w:type="spellEnd"/>
      <w:r w:rsidRPr="003C2B25">
        <w:rPr>
          <w:rFonts w:asciiTheme="majorBidi" w:eastAsia="Arial Unicode MS" w:hAnsiTheme="majorBidi" w:cstheme="majorBidi"/>
          <w:sz w:val="28"/>
          <w:szCs w:val="28"/>
        </w:rPr>
        <w:t xml:space="preserve"> University of Medical Sciences, Tehran, Iran</w:t>
      </w:r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</w:t>
      </w:r>
    </w:p>
    <w:p w:rsidR="003E0C84" w:rsidRPr="0037661A" w:rsidRDefault="003E0C84" w:rsidP="003E0C84">
      <w:pPr>
        <w:bidi w:val="0"/>
        <w:spacing w:after="0" w:line="240" w:lineRule="auto"/>
        <w:jc w:val="both"/>
        <w:rPr>
          <w:rFonts w:asciiTheme="majorBidi" w:eastAsia="Arial Unicode MS" w:hAnsiTheme="majorBidi" w:cstheme="majorBidi"/>
          <w:sz w:val="28"/>
          <w:szCs w:val="28"/>
        </w:rPr>
      </w:pPr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2. Corresponding Author, Associate professor, Department of Midwifery and reproductive health, School of Nursing and midwifery, 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Shahid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Beheshti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University of Medical Sciences,</w:t>
      </w:r>
    </w:p>
    <w:p w:rsidR="003E0C84" w:rsidRPr="0037661A" w:rsidRDefault="003E0C84" w:rsidP="003E0C84">
      <w:pPr>
        <w:bidi w:val="0"/>
        <w:spacing w:after="0" w:line="240" w:lineRule="auto"/>
        <w:jc w:val="both"/>
        <w:rPr>
          <w:rFonts w:asciiTheme="majorBidi" w:eastAsia="Arial Unicode MS" w:hAnsiTheme="majorBidi" w:cstheme="majorBidi"/>
          <w:sz w:val="28"/>
          <w:szCs w:val="28"/>
        </w:rPr>
      </w:pPr>
      <w:r w:rsidRPr="0037661A">
        <w:rPr>
          <w:rFonts w:asciiTheme="majorBidi" w:eastAsia="Arial Unicode MS" w:hAnsiTheme="majorBidi" w:cstheme="majorBidi"/>
          <w:sz w:val="28"/>
          <w:szCs w:val="28"/>
        </w:rPr>
        <w:t>Tehran, Iran</w:t>
      </w:r>
    </w:p>
    <w:p w:rsidR="003E0C84" w:rsidRPr="0037661A" w:rsidRDefault="003E0C84" w:rsidP="003E0C84">
      <w:pPr>
        <w:bidi w:val="0"/>
        <w:spacing w:after="0" w:line="240" w:lineRule="auto"/>
        <w:jc w:val="both"/>
        <w:rPr>
          <w:rFonts w:asciiTheme="majorBidi" w:eastAsia="Arial Unicode MS" w:hAnsiTheme="majorBidi" w:cstheme="majorBidi"/>
          <w:sz w:val="28"/>
          <w:szCs w:val="28"/>
        </w:rPr>
      </w:pPr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3. Associate professor, Department of 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Pharmacogenosy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, Faculty of Pharmacology, 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Shahid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Beheshti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University of Medical Sciences, Tehran, Iran </w:t>
      </w:r>
    </w:p>
    <w:p w:rsidR="003E0C84" w:rsidRPr="0037661A" w:rsidRDefault="003E0C84" w:rsidP="003E0C84">
      <w:pPr>
        <w:bidi w:val="0"/>
        <w:spacing w:after="0" w:line="240" w:lineRule="auto"/>
        <w:jc w:val="both"/>
        <w:rPr>
          <w:rFonts w:asciiTheme="majorBidi" w:eastAsia="Arial Unicode MS" w:hAnsiTheme="majorBidi" w:cstheme="majorBidi"/>
          <w:sz w:val="28"/>
          <w:szCs w:val="28"/>
          <w:rtl/>
        </w:rPr>
      </w:pPr>
      <w:r w:rsidRPr="0037661A">
        <w:rPr>
          <w:rFonts w:asciiTheme="majorBidi" w:eastAsia="Arial Unicode MS" w:hAnsiTheme="majorBidi" w:cstheme="majorBidi"/>
          <w:sz w:val="28"/>
          <w:szCs w:val="28"/>
        </w:rPr>
        <w:t>4.</w:t>
      </w:r>
      <w:r w:rsidRPr="0037661A">
        <w:rPr>
          <w:rFonts w:asciiTheme="majorBidi" w:eastAsia="Arial Unicode MS" w:hAnsiTheme="majorBidi" w:cstheme="majorBidi"/>
          <w:sz w:val="28"/>
          <w:szCs w:val="28"/>
          <w:rtl/>
        </w:rPr>
        <w:t xml:space="preserve"> </w:t>
      </w:r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Assistant Professor, Department of urology, Urology Nephrology Research center, 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Shahid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Beheshti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University of Medical Sciences, Tehran, Iran </w:t>
      </w:r>
    </w:p>
    <w:p w:rsidR="003E0C84" w:rsidRPr="0037661A" w:rsidRDefault="003E0C84" w:rsidP="003E0C84">
      <w:pPr>
        <w:bidi w:val="0"/>
        <w:spacing w:after="0" w:line="240" w:lineRule="auto"/>
        <w:jc w:val="both"/>
        <w:rPr>
          <w:rFonts w:asciiTheme="majorBidi" w:eastAsia="Arial Unicode MS" w:hAnsiTheme="majorBidi" w:cstheme="majorBidi"/>
          <w:sz w:val="28"/>
          <w:szCs w:val="28"/>
        </w:rPr>
      </w:pPr>
    </w:p>
    <w:p w:rsidR="003E0C84" w:rsidRPr="0037661A" w:rsidRDefault="003E0C84" w:rsidP="003E0C84">
      <w:pPr>
        <w:bidi w:val="0"/>
        <w:spacing w:after="0" w:line="240" w:lineRule="auto"/>
        <w:jc w:val="both"/>
        <w:rPr>
          <w:rFonts w:asciiTheme="majorBidi" w:eastAsia="Arial Unicode MS" w:hAnsiTheme="majorBidi" w:cstheme="majorBidi"/>
          <w:sz w:val="28"/>
          <w:szCs w:val="28"/>
        </w:rPr>
      </w:pPr>
    </w:p>
    <w:p w:rsidR="003E0C84" w:rsidRPr="0037661A" w:rsidRDefault="003E0C84" w:rsidP="003E0C84">
      <w:pPr>
        <w:bidi w:val="0"/>
        <w:spacing w:after="0" w:line="240" w:lineRule="auto"/>
        <w:jc w:val="both"/>
        <w:rPr>
          <w:rFonts w:asciiTheme="majorBidi" w:eastAsia="Arial Unicode MS" w:hAnsiTheme="majorBidi" w:cstheme="majorBidi"/>
          <w:sz w:val="28"/>
          <w:szCs w:val="28"/>
        </w:rPr>
      </w:pPr>
      <w:r w:rsidRPr="0037661A">
        <w:rPr>
          <w:rFonts w:asciiTheme="majorBidi" w:eastAsia="Arial Unicode MS" w:hAnsiTheme="majorBidi" w:cstheme="majorBidi"/>
          <w:sz w:val="28"/>
          <w:szCs w:val="28"/>
        </w:rPr>
        <w:t>*</w:t>
      </w:r>
      <w:r w:rsidRPr="0037661A">
        <w:rPr>
          <w:rFonts w:asciiTheme="majorBidi" w:eastAsia="Arial Unicode MS" w:hAnsiTheme="majorBidi" w:cstheme="majorBidi"/>
          <w:sz w:val="24"/>
          <w:szCs w:val="24"/>
        </w:rPr>
        <w:t>Corresponding author:E-Mail:keshavarzzohre@yahoo.com.T:0098-9123907712</w:t>
      </w:r>
    </w:p>
    <w:p w:rsidR="003E0C84" w:rsidRPr="0037661A" w:rsidRDefault="003E0C84" w:rsidP="003E0C84">
      <w:pPr>
        <w:bidi w:val="0"/>
        <w:spacing w:after="0" w:line="240" w:lineRule="auto"/>
        <w:jc w:val="both"/>
        <w:rPr>
          <w:rFonts w:asciiTheme="majorBidi" w:eastAsia="Times New Roman" w:hAnsiTheme="majorBidi" w:cstheme="majorBidi"/>
          <w:sz w:val="28"/>
          <w:szCs w:val="28"/>
        </w:rPr>
      </w:pPr>
    </w:p>
    <w:p w:rsidR="003E0C84" w:rsidRPr="0037661A" w:rsidRDefault="003E0C84" w:rsidP="003E0C84">
      <w:pPr>
        <w:bidi w:val="0"/>
        <w:spacing w:after="0" w:line="240" w:lineRule="auto"/>
        <w:rPr>
          <w:rFonts w:asciiTheme="majorBidi" w:eastAsia="Arial Unicode MS" w:hAnsiTheme="majorBidi" w:cstheme="majorBidi"/>
          <w:sz w:val="28"/>
          <w:szCs w:val="28"/>
        </w:rPr>
      </w:pPr>
      <w:r w:rsidRPr="0037661A">
        <w:rPr>
          <w:rFonts w:asciiTheme="majorBidi" w:eastAsia="Arial Unicode MS" w:hAnsiTheme="majorBidi" w:cstheme="majorBidi"/>
          <w:sz w:val="28"/>
          <w:szCs w:val="28"/>
        </w:rPr>
        <w:t>Abstract</w:t>
      </w:r>
    </w:p>
    <w:p w:rsidR="003E0C84" w:rsidRPr="0037661A" w:rsidRDefault="003E0C84" w:rsidP="003E0C84">
      <w:pPr>
        <w:bidi w:val="0"/>
        <w:spacing w:after="0" w:line="240" w:lineRule="auto"/>
        <w:jc w:val="both"/>
        <w:rPr>
          <w:rFonts w:asciiTheme="majorBidi" w:eastAsia="Arial Unicode MS" w:hAnsiTheme="majorBidi" w:cstheme="majorBidi"/>
          <w:sz w:val="28"/>
          <w:szCs w:val="28"/>
        </w:rPr>
      </w:pPr>
      <w:r w:rsidRPr="0037661A">
        <w:rPr>
          <w:rFonts w:asciiTheme="majorBidi" w:eastAsia="Arial Unicode MS" w:hAnsiTheme="majorBidi" w:cstheme="majorBidi"/>
          <w:sz w:val="28"/>
          <w:szCs w:val="28"/>
        </w:rPr>
        <w:t>Background</w:t>
      </w:r>
    </w:p>
    <w:p w:rsidR="003E0C84" w:rsidRPr="0037661A" w:rsidRDefault="003E0C84" w:rsidP="003E0C84">
      <w:pPr>
        <w:bidi w:val="0"/>
        <w:spacing w:after="0" w:line="240" w:lineRule="auto"/>
        <w:jc w:val="both"/>
        <w:rPr>
          <w:rFonts w:asciiTheme="majorBidi" w:eastAsia="Arial Unicode MS" w:hAnsiTheme="majorBidi" w:cstheme="majorBidi"/>
          <w:sz w:val="28"/>
          <w:szCs w:val="28"/>
        </w:rPr>
      </w:pPr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    Primary 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dysmenorrhea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is a prevalent problem and it reduces the level of life 'quality in many females. Based on the properties of</w:t>
      </w:r>
      <w:r w:rsidRPr="0037661A">
        <w:rPr>
          <w:rFonts w:asciiTheme="majorBidi" w:eastAsia="Arial Unicode MS" w:hAnsiTheme="majorBidi" w:cstheme="majorBidi"/>
          <w:kern w:val="36"/>
          <w:sz w:val="28"/>
          <w:szCs w:val="28"/>
        </w:rPr>
        <w:t xml:space="preserve"> 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Teucrium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Polium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</w:t>
      </w:r>
      <w:r w:rsidRPr="0037661A">
        <w:rPr>
          <w:rFonts w:asciiTheme="majorBidi" w:hAnsiTheme="majorBidi" w:cstheme="majorBidi"/>
          <w:sz w:val="28"/>
          <w:szCs w:val="28"/>
        </w:rPr>
        <w:t>and</w:t>
      </w:r>
      <w:r w:rsidRPr="0037661A">
        <w:rPr>
          <w:rStyle w:val="binomial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37661A">
        <w:rPr>
          <w:rStyle w:val="binomial"/>
          <w:rFonts w:asciiTheme="majorBidi" w:hAnsiTheme="majorBidi" w:cstheme="majorBidi"/>
          <w:sz w:val="28"/>
          <w:szCs w:val="28"/>
        </w:rPr>
        <w:t>Foeniculum</w:t>
      </w:r>
      <w:proofErr w:type="spellEnd"/>
      <w:r w:rsidRPr="0037661A">
        <w:rPr>
          <w:rStyle w:val="binomial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37661A">
        <w:rPr>
          <w:rStyle w:val="binomial"/>
          <w:rFonts w:asciiTheme="majorBidi" w:hAnsiTheme="majorBidi" w:cstheme="majorBidi"/>
          <w:sz w:val="28"/>
          <w:szCs w:val="28"/>
        </w:rPr>
        <w:t>vulgare</w:t>
      </w:r>
      <w:proofErr w:type="spellEnd"/>
      <w:r w:rsidRPr="0037661A">
        <w:rPr>
          <w:rFonts w:asciiTheme="majorBidi" w:hAnsiTheme="majorBidi" w:cstheme="majorBidi"/>
          <w:sz w:val="28"/>
          <w:szCs w:val="28"/>
        </w:rPr>
        <w:t xml:space="preserve"> and Achilles </w:t>
      </w:r>
      <w:proofErr w:type="spellStart"/>
      <w:r w:rsidRPr="0037661A">
        <w:rPr>
          <w:rFonts w:asciiTheme="majorBidi" w:hAnsiTheme="majorBidi" w:cstheme="majorBidi"/>
          <w:sz w:val="28"/>
          <w:szCs w:val="28"/>
        </w:rPr>
        <w:t>millefolium</w:t>
      </w:r>
      <w:proofErr w:type="spellEnd"/>
      <w:r w:rsidRPr="0037661A">
        <w:rPr>
          <w:rFonts w:asciiTheme="majorBidi" w:hAnsiTheme="majorBidi" w:cstheme="majorBidi"/>
          <w:sz w:val="28"/>
          <w:szCs w:val="28"/>
        </w:rPr>
        <w:t xml:space="preserve"> </w:t>
      </w:r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with analgesic and inflammatory properties, this study was designed with this format:  triple-blind, randomized, placebo controlled trial. The aim of this study is to compare the effects of </w:t>
      </w:r>
      <w:proofErr w:type="spellStart"/>
      <w:r w:rsidRPr="0037661A">
        <w:rPr>
          <w:rFonts w:asciiTheme="majorBidi" w:eastAsia="Arial Unicode MS" w:hAnsiTheme="majorBidi" w:cstheme="majorBidi"/>
          <w:kern w:val="36"/>
          <w:sz w:val="28"/>
          <w:szCs w:val="28"/>
        </w:rPr>
        <w:t>teucrium</w:t>
      </w:r>
      <w:proofErr w:type="spellEnd"/>
      <w:r w:rsidRPr="0037661A">
        <w:rPr>
          <w:rFonts w:asciiTheme="majorBidi" w:eastAsia="Arial Unicode MS" w:hAnsiTheme="majorBidi" w:cstheme="majorBidi"/>
          <w:kern w:val="36"/>
          <w:sz w:val="28"/>
          <w:szCs w:val="28"/>
        </w:rPr>
        <w:t xml:space="preserve"> </w:t>
      </w:r>
      <w:proofErr w:type="spellStart"/>
      <w:r w:rsidRPr="0037661A">
        <w:rPr>
          <w:rFonts w:asciiTheme="majorBidi" w:eastAsia="Arial Unicode MS" w:hAnsiTheme="majorBidi" w:cstheme="majorBidi"/>
          <w:kern w:val="36"/>
          <w:sz w:val="28"/>
          <w:szCs w:val="28"/>
        </w:rPr>
        <w:t>polium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and </w:t>
      </w:r>
      <w:proofErr w:type="spellStart"/>
      <w:r w:rsidRPr="0037661A">
        <w:rPr>
          <w:rStyle w:val="binomial"/>
          <w:rFonts w:asciiTheme="majorBidi" w:hAnsiTheme="majorBidi" w:cstheme="majorBidi"/>
          <w:sz w:val="28"/>
          <w:szCs w:val="28"/>
        </w:rPr>
        <w:t>Foeniculum</w:t>
      </w:r>
      <w:proofErr w:type="spellEnd"/>
      <w:r w:rsidRPr="0037661A">
        <w:rPr>
          <w:rStyle w:val="binomial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37661A">
        <w:rPr>
          <w:rStyle w:val="binomial"/>
          <w:rFonts w:asciiTheme="majorBidi" w:hAnsiTheme="majorBidi" w:cstheme="majorBidi"/>
          <w:sz w:val="28"/>
          <w:szCs w:val="28"/>
        </w:rPr>
        <w:t>vulgare</w:t>
      </w:r>
      <w:proofErr w:type="spellEnd"/>
      <w:r w:rsidRPr="0037661A">
        <w:rPr>
          <w:rFonts w:asciiTheme="majorBidi" w:hAnsiTheme="majorBidi" w:cstheme="majorBidi"/>
          <w:sz w:val="28"/>
          <w:szCs w:val="28"/>
        </w:rPr>
        <w:t xml:space="preserve"> and Achilles </w:t>
      </w:r>
      <w:proofErr w:type="spellStart"/>
      <w:r w:rsidRPr="0037661A">
        <w:rPr>
          <w:rFonts w:asciiTheme="majorBidi" w:hAnsiTheme="majorBidi" w:cstheme="majorBidi"/>
          <w:sz w:val="28"/>
          <w:szCs w:val="28"/>
        </w:rPr>
        <w:t>millefolium</w:t>
      </w:r>
      <w:proofErr w:type="spellEnd"/>
      <w:r w:rsidRPr="0037661A">
        <w:rPr>
          <w:rFonts w:asciiTheme="majorBidi" w:hAnsiTheme="majorBidi" w:cstheme="majorBidi"/>
          <w:sz w:val="28"/>
          <w:szCs w:val="28"/>
        </w:rPr>
        <w:t xml:space="preserve"> </w:t>
      </w:r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on the primary 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dysmenorrhea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>.</w:t>
      </w:r>
    </w:p>
    <w:p w:rsidR="003E0C84" w:rsidRPr="0037661A" w:rsidRDefault="003E0C84" w:rsidP="003E0C84">
      <w:pPr>
        <w:bidi w:val="0"/>
        <w:spacing w:before="100" w:beforeAutospacing="1" w:after="100" w:afterAutospacing="1" w:line="240" w:lineRule="auto"/>
        <w:jc w:val="both"/>
        <w:outlineLvl w:val="2"/>
        <w:rPr>
          <w:rFonts w:asciiTheme="majorBidi" w:eastAsia="Arial Unicode MS" w:hAnsiTheme="majorBidi" w:cstheme="majorBidi"/>
          <w:sz w:val="28"/>
          <w:szCs w:val="28"/>
        </w:rPr>
      </w:pPr>
      <w:r w:rsidRPr="0037661A">
        <w:rPr>
          <w:rFonts w:asciiTheme="majorBidi" w:eastAsia="Arial Unicode MS" w:hAnsiTheme="majorBidi" w:cstheme="majorBidi"/>
          <w:sz w:val="28"/>
          <w:szCs w:val="28"/>
        </w:rPr>
        <w:t>Methods</w:t>
      </w:r>
    </w:p>
    <w:p w:rsidR="003E0C84" w:rsidRPr="0037661A" w:rsidRDefault="003E0C84" w:rsidP="003E0C84">
      <w:pPr>
        <w:bidi w:val="0"/>
        <w:spacing w:before="100" w:beforeAutospacing="1" w:after="100" w:afterAutospacing="1" w:line="240" w:lineRule="auto"/>
        <w:jc w:val="both"/>
        <w:outlineLvl w:val="2"/>
        <w:rPr>
          <w:rFonts w:asciiTheme="majorBidi" w:eastAsia="Arial Unicode MS" w:hAnsiTheme="majorBidi" w:cstheme="majorBidi"/>
          <w:sz w:val="28"/>
          <w:szCs w:val="28"/>
        </w:rPr>
      </w:pPr>
      <w:r w:rsidRPr="0037661A">
        <w:rPr>
          <w:rFonts w:asciiTheme="majorBidi" w:eastAsia="Times New Roman" w:hAnsiTheme="majorBidi" w:cstheme="majorBidi"/>
          <w:sz w:val="28"/>
          <w:szCs w:val="28"/>
        </w:rPr>
        <w:lastRenderedPageBreak/>
        <w:t xml:space="preserve">    This triple-blind, clinical trial study was accomplished on 60 single female students between 20-30 years old, educating in </w:t>
      </w:r>
      <w:proofErr w:type="spellStart"/>
      <w:r w:rsidRPr="0037661A">
        <w:rPr>
          <w:rFonts w:asciiTheme="majorBidi" w:eastAsia="Times New Roman" w:hAnsiTheme="majorBidi" w:cstheme="majorBidi"/>
          <w:sz w:val="28"/>
          <w:szCs w:val="28"/>
        </w:rPr>
        <w:t>Shahid</w:t>
      </w:r>
      <w:proofErr w:type="spellEnd"/>
      <w:r w:rsidRPr="0037661A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proofErr w:type="spellStart"/>
      <w:r w:rsidRPr="0037661A">
        <w:rPr>
          <w:rFonts w:asciiTheme="majorBidi" w:eastAsia="Times New Roman" w:hAnsiTheme="majorBidi" w:cstheme="majorBidi"/>
          <w:sz w:val="28"/>
          <w:szCs w:val="28"/>
        </w:rPr>
        <w:t>Beheshti</w:t>
      </w:r>
      <w:proofErr w:type="spellEnd"/>
      <w:r w:rsidRPr="0037661A">
        <w:rPr>
          <w:rFonts w:asciiTheme="majorBidi" w:eastAsia="Times New Roman" w:hAnsiTheme="majorBidi" w:cstheme="majorBidi"/>
          <w:sz w:val="28"/>
          <w:szCs w:val="28"/>
        </w:rPr>
        <w:t xml:space="preserve"> University of medical sciences. </w:t>
      </w:r>
      <w:r w:rsidRPr="0037661A">
        <w:rPr>
          <w:rFonts w:asciiTheme="majorBidi" w:eastAsia="Arial Unicode MS" w:hAnsiTheme="majorBidi" w:cstheme="majorBidi"/>
          <w:sz w:val="28"/>
          <w:szCs w:val="28"/>
        </w:rPr>
        <w:t>Students were divided in 3 groups who received</w:t>
      </w:r>
      <w:r w:rsidRPr="0037661A">
        <w:rPr>
          <w:rFonts w:asciiTheme="majorBidi" w:eastAsia="Arial Unicode MS" w:hAnsiTheme="majorBidi" w:cstheme="majorBidi"/>
          <w:kern w:val="36"/>
          <w:sz w:val="28"/>
          <w:szCs w:val="28"/>
        </w:rPr>
        <w:t xml:space="preserve"> 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Teucrium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Polium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(n =30) or</w:t>
      </w:r>
      <w:r w:rsidRPr="0037661A">
        <w:rPr>
          <w:rStyle w:val="binomial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37661A">
        <w:rPr>
          <w:rStyle w:val="binomial"/>
          <w:rFonts w:asciiTheme="majorBidi" w:hAnsiTheme="majorBidi" w:cstheme="majorBidi"/>
          <w:sz w:val="28"/>
          <w:szCs w:val="28"/>
        </w:rPr>
        <w:t>Foeniculum</w:t>
      </w:r>
      <w:proofErr w:type="spellEnd"/>
      <w:r w:rsidRPr="0037661A">
        <w:rPr>
          <w:rStyle w:val="binomial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37661A">
        <w:rPr>
          <w:rStyle w:val="binomial"/>
          <w:rFonts w:asciiTheme="majorBidi" w:hAnsiTheme="majorBidi" w:cstheme="majorBidi"/>
          <w:sz w:val="28"/>
          <w:szCs w:val="28"/>
        </w:rPr>
        <w:t>vulgare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(n =15) or</w:t>
      </w:r>
      <w:r w:rsidRPr="0037661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37661A">
        <w:rPr>
          <w:rFonts w:asciiTheme="majorBidi" w:hAnsiTheme="majorBidi" w:cstheme="majorBidi"/>
          <w:sz w:val="28"/>
          <w:szCs w:val="28"/>
        </w:rPr>
        <w:t>millefolium</w:t>
      </w:r>
      <w:proofErr w:type="spellEnd"/>
      <w:r w:rsidRPr="0037661A">
        <w:rPr>
          <w:rFonts w:asciiTheme="majorBidi" w:hAnsiTheme="majorBidi" w:cstheme="majorBidi"/>
          <w:sz w:val="28"/>
          <w:szCs w:val="28"/>
        </w:rPr>
        <w:t xml:space="preserve"> </w:t>
      </w:r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(n=15). For the first 3 days of menstruation. Participants take these herbal </w:t>
      </w:r>
      <w:bookmarkStart w:id="0" w:name="_GoBack"/>
      <w:bookmarkEnd w:id="0"/>
      <w:r w:rsidRPr="0037661A">
        <w:rPr>
          <w:rFonts w:asciiTheme="majorBidi" w:eastAsia="Arial Unicode MS" w:hAnsiTheme="majorBidi" w:cstheme="majorBidi"/>
          <w:sz w:val="28"/>
          <w:szCs w:val="28"/>
        </w:rPr>
        <w:t>medicines for 3 times daily for 2 consecutive menstrual cycles. Pain severity was surveyed using a visual analog scale.</w:t>
      </w:r>
      <w:r w:rsidRPr="0037661A">
        <w:rPr>
          <w:rFonts w:asciiTheme="majorBidi" w:eastAsia="Times New Roman" w:hAnsiTheme="majorBidi" w:cstheme="majorBidi"/>
          <w:sz w:val="28"/>
          <w:szCs w:val="28"/>
        </w:rPr>
        <w:t xml:space="preserve"> We applied SPSS software and used </w:t>
      </w:r>
      <w:r w:rsidRPr="0037661A">
        <w:rPr>
          <w:rFonts w:asciiTheme="majorBidi" w:hAnsiTheme="majorBidi" w:cstheme="majorBidi"/>
          <w:sz w:val="28"/>
          <w:szCs w:val="28"/>
        </w:rPr>
        <w:t xml:space="preserve">of </w:t>
      </w:r>
      <w:proofErr w:type="spellStart"/>
      <w:r w:rsidRPr="0037661A">
        <w:rPr>
          <w:rFonts w:asciiTheme="majorBidi" w:hAnsiTheme="majorBidi" w:cstheme="majorBidi"/>
          <w:sz w:val="28"/>
          <w:szCs w:val="28"/>
        </w:rPr>
        <w:t>Kruskal</w:t>
      </w:r>
      <w:proofErr w:type="spellEnd"/>
      <w:r w:rsidRPr="0037661A">
        <w:rPr>
          <w:rFonts w:asciiTheme="majorBidi" w:hAnsiTheme="majorBidi" w:cstheme="majorBidi"/>
          <w:sz w:val="28"/>
          <w:szCs w:val="28"/>
        </w:rPr>
        <w:t xml:space="preserve"> Wallis Test for comparison between groups in each time and Friedman Test for comparison within groups along time for </w:t>
      </w:r>
      <w:proofErr w:type="spellStart"/>
      <w:r w:rsidRPr="0037661A">
        <w:rPr>
          <w:rFonts w:asciiTheme="majorBidi" w:hAnsiTheme="majorBidi" w:cstheme="majorBidi"/>
          <w:sz w:val="28"/>
          <w:szCs w:val="28"/>
        </w:rPr>
        <w:t>Foeniculum</w:t>
      </w:r>
      <w:proofErr w:type="spellEnd"/>
      <w:r w:rsidRPr="0037661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37661A">
        <w:rPr>
          <w:rFonts w:asciiTheme="majorBidi" w:hAnsiTheme="majorBidi" w:cstheme="majorBidi"/>
          <w:sz w:val="28"/>
          <w:szCs w:val="28"/>
        </w:rPr>
        <w:t>vulgare</w:t>
      </w:r>
      <w:proofErr w:type="spellEnd"/>
      <w:r w:rsidRPr="0037661A">
        <w:rPr>
          <w:rFonts w:asciiTheme="majorBidi" w:hAnsiTheme="majorBidi" w:cstheme="majorBidi"/>
          <w:sz w:val="28"/>
          <w:szCs w:val="28"/>
        </w:rPr>
        <w:t xml:space="preserve">, Achilles </w:t>
      </w:r>
      <w:proofErr w:type="spellStart"/>
      <w:r w:rsidRPr="0037661A">
        <w:rPr>
          <w:rFonts w:asciiTheme="majorBidi" w:hAnsiTheme="majorBidi" w:cstheme="majorBidi"/>
          <w:sz w:val="28"/>
          <w:szCs w:val="28"/>
        </w:rPr>
        <w:t>illefolium</w:t>
      </w:r>
      <w:proofErr w:type="spellEnd"/>
      <w:r w:rsidRPr="0037661A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Pr="003E0C84">
        <w:rPr>
          <w:rFonts w:asciiTheme="majorBidi" w:hAnsiTheme="majorBidi" w:cstheme="majorBidi"/>
          <w:sz w:val="28"/>
          <w:szCs w:val="28"/>
        </w:rPr>
        <w:t>Teucrium</w:t>
      </w:r>
      <w:proofErr w:type="spellEnd"/>
      <w:r w:rsidRPr="003E0C84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3E0C84">
        <w:rPr>
          <w:rFonts w:asciiTheme="majorBidi" w:hAnsiTheme="majorBidi" w:cstheme="majorBidi"/>
          <w:sz w:val="28"/>
          <w:szCs w:val="28"/>
        </w:rPr>
        <w:t>Polium</w:t>
      </w:r>
      <w:proofErr w:type="spellEnd"/>
      <w:r w:rsidRPr="003E0C84">
        <w:rPr>
          <w:rFonts w:asciiTheme="majorBidi" w:hAnsiTheme="majorBidi" w:cstheme="majorBidi"/>
          <w:sz w:val="28"/>
          <w:szCs w:val="28"/>
        </w:rPr>
        <w:t xml:space="preserve"> respectively.</w:t>
      </w:r>
    </w:p>
    <w:p w:rsidR="003E0C84" w:rsidRPr="003E0C84" w:rsidRDefault="003E0C84" w:rsidP="003E0C84">
      <w:pPr>
        <w:bidi w:val="0"/>
        <w:spacing w:before="100" w:beforeAutospacing="1" w:after="100" w:afterAutospacing="1" w:line="240" w:lineRule="auto"/>
        <w:outlineLvl w:val="2"/>
        <w:rPr>
          <w:rFonts w:asciiTheme="majorBidi" w:eastAsia="Arial Unicode MS" w:hAnsiTheme="majorBidi" w:cstheme="majorBidi"/>
          <w:sz w:val="28"/>
          <w:szCs w:val="28"/>
        </w:rPr>
      </w:pPr>
      <w:r w:rsidRPr="003E0C84">
        <w:rPr>
          <w:rFonts w:asciiTheme="majorBidi" w:eastAsia="Arial Unicode MS" w:hAnsiTheme="majorBidi" w:cstheme="majorBidi"/>
          <w:sz w:val="28"/>
          <w:szCs w:val="28"/>
        </w:rPr>
        <w:t>Results</w:t>
      </w:r>
    </w:p>
    <w:p w:rsidR="003E0C84" w:rsidRPr="003E0C84" w:rsidRDefault="003E0C84" w:rsidP="003E0C84">
      <w:pPr>
        <w:bidi w:val="0"/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3E0C84">
        <w:rPr>
          <w:rFonts w:asciiTheme="majorBidi" w:eastAsia="Arial Unicode MS" w:hAnsiTheme="majorBidi" w:cstheme="majorBidi"/>
          <w:sz w:val="28"/>
          <w:szCs w:val="28"/>
        </w:rPr>
        <w:t xml:space="preserve">     There was no difference in pain severity at baseline between 3 groups</w:t>
      </w:r>
      <w:r w:rsidRPr="003E0C84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  <w:r w:rsidRPr="003E0C84">
        <w:rPr>
          <w:rFonts w:asciiTheme="majorBidi" w:eastAsia="Arial Unicode MS" w:hAnsiTheme="majorBidi" w:cstheme="majorBidi"/>
          <w:sz w:val="28"/>
          <w:szCs w:val="28"/>
        </w:rPr>
        <w:t>Pain severity .was decreased in per 3 groups after the intervention</w:t>
      </w:r>
      <w:r w:rsidRPr="003E0C84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  <w:r w:rsidRPr="003E0C84">
        <w:rPr>
          <w:rFonts w:asciiTheme="majorBidi" w:eastAsia="Arial Unicode MS" w:hAnsiTheme="majorBidi" w:cstheme="majorBidi"/>
          <w:sz w:val="24"/>
          <w:szCs w:val="24"/>
        </w:rPr>
        <w:t>p-value (˂0.05)</w:t>
      </w:r>
      <w:r w:rsidRPr="003E0C84">
        <w:rPr>
          <w:rFonts w:asciiTheme="majorBidi" w:eastAsia="Arial Unicode MS" w:hAnsiTheme="majorBidi" w:cstheme="majorBidi"/>
          <w:sz w:val="28"/>
          <w:szCs w:val="28"/>
        </w:rPr>
        <w:t>; Also There was no difference in pain severity after intervention in groups</w:t>
      </w:r>
      <w:r w:rsidRPr="003E0C84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  </w:t>
      </w:r>
    </w:p>
    <w:p w:rsidR="003E0C84" w:rsidRPr="0037661A" w:rsidRDefault="003E0C84" w:rsidP="003E0C84">
      <w:pPr>
        <w:bidi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3E0C84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eastAsia="Arial Unicode MS" w:hAnsiTheme="majorBidi" w:cstheme="majorBidi"/>
          <w:sz w:val="24"/>
          <w:szCs w:val="24"/>
        </w:rPr>
        <w:t>P</w:t>
      </w:r>
      <w:r w:rsidRPr="003E0C84">
        <w:rPr>
          <w:rFonts w:asciiTheme="majorBidi" w:eastAsia="Arial Unicode MS" w:hAnsiTheme="majorBidi" w:cstheme="majorBidi"/>
          <w:sz w:val="24"/>
          <w:szCs w:val="24"/>
        </w:rPr>
        <w:t>-value (˂0.05)</w:t>
      </w:r>
      <w:r w:rsidRPr="003E0C84">
        <w:rPr>
          <w:rFonts w:asciiTheme="majorBidi" w:eastAsia="Arial Unicode MS" w:hAnsiTheme="majorBidi" w:cstheme="majorBidi"/>
          <w:sz w:val="28"/>
          <w:szCs w:val="28"/>
        </w:rPr>
        <w:t>. No side effect was observed in these groups.</w:t>
      </w:r>
    </w:p>
    <w:p w:rsidR="003E0C84" w:rsidRPr="0037661A" w:rsidRDefault="003E0C84" w:rsidP="003E0C84">
      <w:pPr>
        <w:bidi w:val="0"/>
        <w:spacing w:before="100" w:beforeAutospacing="1" w:after="100" w:afterAutospacing="1" w:line="240" w:lineRule="auto"/>
        <w:outlineLvl w:val="2"/>
        <w:rPr>
          <w:rFonts w:asciiTheme="majorBidi" w:eastAsia="Arial Unicode MS" w:hAnsiTheme="majorBidi" w:cstheme="majorBidi"/>
          <w:sz w:val="28"/>
          <w:szCs w:val="28"/>
        </w:rPr>
      </w:pPr>
      <w:r w:rsidRPr="003E0C84">
        <w:rPr>
          <w:rFonts w:asciiTheme="majorBidi" w:eastAsia="Arial Unicode MS" w:hAnsiTheme="majorBidi" w:cstheme="majorBidi"/>
          <w:sz w:val="28"/>
          <w:szCs w:val="28"/>
        </w:rPr>
        <w:t>Conclusion</w:t>
      </w:r>
    </w:p>
    <w:p w:rsidR="003E0C84" w:rsidRPr="0037661A" w:rsidRDefault="003E0C84" w:rsidP="003E0C84">
      <w:pPr>
        <w:bidi w:val="0"/>
        <w:spacing w:before="100" w:beforeAutospacing="1" w:after="100" w:afterAutospacing="1" w:line="240" w:lineRule="auto"/>
        <w:rPr>
          <w:rFonts w:asciiTheme="majorBidi" w:eastAsia="Arial Unicode MS" w:hAnsiTheme="majorBidi" w:cstheme="majorBidi"/>
          <w:color w:val="FFFFFF" w:themeColor="background1"/>
          <w:sz w:val="28"/>
          <w:szCs w:val="28"/>
        </w:rPr>
      </w:pPr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    Administration of 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Teucrium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Polium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</w:t>
      </w:r>
      <w:r w:rsidRPr="0037661A">
        <w:rPr>
          <w:rFonts w:asciiTheme="majorBidi" w:hAnsiTheme="majorBidi" w:cstheme="majorBidi"/>
          <w:sz w:val="28"/>
          <w:szCs w:val="28"/>
        </w:rPr>
        <w:t>and</w:t>
      </w:r>
      <w:r w:rsidRPr="0037661A">
        <w:rPr>
          <w:rStyle w:val="binomial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37661A">
        <w:rPr>
          <w:rStyle w:val="binomial"/>
          <w:rFonts w:asciiTheme="majorBidi" w:hAnsiTheme="majorBidi" w:cstheme="majorBidi"/>
          <w:sz w:val="28"/>
          <w:szCs w:val="28"/>
        </w:rPr>
        <w:t>Foeniculum</w:t>
      </w:r>
      <w:proofErr w:type="spellEnd"/>
      <w:r w:rsidRPr="0037661A">
        <w:rPr>
          <w:rStyle w:val="binomial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37661A">
        <w:rPr>
          <w:rStyle w:val="binomial"/>
          <w:rFonts w:asciiTheme="majorBidi" w:hAnsiTheme="majorBidi" w:cstheme="majorBidi"/>
          <w:sz w:val="28"/>
          <w:szCs w:val="28"/>
        </w:rPr>
        <w:t>vulgare</w:t>
      </w:r>
      <w:proofErr w:type="spellEnd"/>
      <w:r w:rsidRPr="0037661A">
        <w:rPr>
          <w:rFonts w:asciiTheme="majorBidi" w:hAnsiTheme="majorBidi" w:cstheme="majorBidi"/>
          <w:sz w:val="28"/>
          <w:szCs w:val="28"/>
        </w:rPr>
        <w:t xml:space="preserve"> and Achilles </w:t>
      </w:r>
      <w:proofErr w:type="spellStart"/>
      <w:r w:rsidRPr="0037661A">
        <w:rPr>
          <w:rFonts w:asciiTheme="majorBidi" w:hAnsiTheme="majorBidi" w:cstheme="majorBidi"/>
          <w:sz w:val="28"/>
          <w:szCs w:val="28"/>
        </w:rPr>
        <w:t>millefolium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during   menstruation can decrease the severity of 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dysmenorrhea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>.</w:t>
      </w:r>
    </w:p>
    <w:p w:rsidR="003E0C84" w:rsidRPr="0037661A" w:rsidRDefault="003E0C84" w:rsidP="003E0C84">
      <w:pPr>
        <w:bidi w:val="0"/>
        <w:spacing w:after="0" w:line="240" w:lineRule="auto"/>
        <w:rPr>
          <w:rFonts w:asciiTheme="majorBidi" w:eastAsia="Arial Unicode MS" w:hAnsiTheme="majorBidi" w:cstheme="majorBidi"/>
          <w:sz w:val="28"/>
          <w:szCs w:val="28"/>
        </w:rPr>
      </w:pPr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Keywords: 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Dysmenorrhea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, </w:t>
      </w:r>
      <w:proofErr w:type="spellStart"/>
      <w:r w:rsidRPr="0037661A">
        <w:rPr>
          <w:rFonts w:asciiTheme="majorBidi" w:eastAsia="Arial Unicode MS" w:hAnsiTheme="majorBidi" w:cstheme="majorBidi"/>
          <w:sz w:val="28"/>
          <w:szCs w:val="28"/>
        </w:rPr>
        <w:t>Teucrium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37661A">
        <w:rPr>
          <w:rFonts w:asciiTheme="majorBidi" w:eastAsia="Arial Unicode MS" w:hAnsiTheme="majorBidi" w:cstheme="majorBidi"/>
          <w:sz w:val="28"/>
          <w:szCs w:val="28"/>
        </w:rPr>
        <w:t>Polium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 xml:space="preserve"> </w:t>
      </w:r>
      <w:r w:rsidRPr="0037661A">
        <w:rPr>
          <w:rStyle w:val="binomial"/>
          <w:rFonts w:asciiTheme="majorBidi" w:hAnsiTheme="majorBidi" w:cstheme="majorBidi"/>
          <w:sz w:val="28"/>
          <w:szCs w:val="28"/>
        </w:rPr>
        <w:t>,</w:t>
      </w:r>
      <w:proofErr w:type="spellStart"/>
      <w:r w:rsidRPr="0037661A">
        <w:rPr>
          <w:rStyle w:val="binomial"/>
          <w:rFonts w:asciiTheme="majorBidi" w:hAnsiTheme="majorBidi" w:cstheme="majorBidi"/>
          <w:sz w:val="28"/>
          <w:szCs w:val="28"/>
        </w:rPr>
        <w:t>Foeniculum</w:t>
      </w:r>
      <w:proofErr w:type="spellEnd"/>
      <w:proofErr w:type="gramEnd"/>
      <w:r w:rsidRPr="0037661A">
        <w:rPr>
          <w:rStyle w:val="binomial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37661A">
        <w:rPr>
          <w:rStyle w:val="binomial"/>
          <w:rFonts w:asciiTheme="majorBidi" w:hAnsiTheme="majorBidi" w:cstheme="majorBidi"/>
          <w:sz w:val="28"/>
          <w:szCs w:val="28"/>
        </w:rPr>
        <w:t>vulgare</w:t>
      </w:r>
      <w:proofErr w:type="spellEnd"/>
      <w:r w:rsidRPr="0037661A">
        <w:rPr>
          <w:rFonts w:asciiTheme="majorBidi" w:hAnsiTheme="majorBidi" w:cstheme="majorBidi"/>
          <w:sz w:val="28"/>
          <w:szCs w:val="28"/>
        </w:rPr>
        <w:t xml:space="preserve"> ,Achilles </w:t>
      </w:r>
      <w:proofErr w:type="spellStart"/>
      <w:r w:rsidRPr="0037661A">
        <w:rPr>
          <w:rFonts w:asciiTheme="majorBidi" w:hAnsiTheme="majorBidi" w:cstheme="majorBidi"/>
          <w:sz w:val="28"/>
          <w:szCs w:val="28"/>
        </w:rPr>
        <w:t>millefolium</w:t>
      </w:r>
      <w:proofErr w:type="spellEnd"/>
      <w:r w:rsidRPr="0037661A">
        <w:rPr>
          <w:rFonts w:asciiTheme="majorBidi" w:eastAsia="Arial Unicode MS" w:hAnsiTheme="majorBidi" w:cstheme="majorBidi"/>
          <w:sz w:val="28"/>
          <w:szCs w:val="28"/>
        </w:rPr>
        <w:t>,</w:t>
      </w:r>
      <w:r w:rsidRPr="0037661A">
        <w:rPr>
          <w:rFonts w:asciiTheme="majorBidi" w:hAnsiTheme="majorBidi" w:cstheme="majorBidi"/>
        </w:rPr>
        <w:t xml:space="preserve"> </w:t>
      </w:r>
      <w:r w:rsidRPr="0037661A">
        <w:rPr>
          <w:rFonts w:asciiTheme="majorBidi" w:eastAsia="Arial Unicode MS" w:hAnsiTheme="majorBidi" w:cstheme="majorBidi"/>
          <w:sz w:val="28"/>
          <w:szCs w:val="28"/>
        </w:rPr>
        <w:t>,herbal medicine</w:t>
      </w:r>
    </w:p>
    <w:p w:rsidR="00230A6F" w:rsidRDefault="00230A6F">
      <w:pPr>
        <w:rPr>
          <w:rFonts w:hint="cs"/>
        </w:rPr>
      </w:pPr>
    </w:p>
    <w:sectPr w:rsidR="00230A6F" w:rsidSect="00F44D3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21D0" w:rsidRDefault="00D821D0" w:rsidP="003E0C84">
      <w:pPr>
        <w:spacing w:after="0" w:line="240" w:lineRule="auto"/>
      </w:pPr>
      <w:r>
        <w:separator/>
      </w:r>
    </w:p>
  </w:endnote>
  <w:endnote w:type="continuationSeparator" w:id="0">
    <w:p w:rsidR="00D821D0" w:rsidRDefault="00D821D0" w:rsidP="003E0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21D0" w:rsidRDefault="00D821D0" w:rsidP="003E0C84">
      <w:pPr>
        <w:spacing w:after="0" w:line="240" w:lineRule="auto"/>
      </w:pPr>
      <w:r>
        <w:separator/>
      </w:r>
    </w:p>
  </w:footnote>
  <w:footnote w:type="continuationSeparator" w:id="0">
    <w:p w:rsidR="00D821D0" w:rsidRDefault="00D821D0" w:rsidP="003E0C84">
      <w:pPr>
        <w:spacing w:after="0" w:line="240" w:lineRule="auto"/>
      </w:pPr>
      <w:r>
        <w:continuationSeparator/>
      </w:r>
    </w:p>
  </w:footnote>
  <w:footnote w:id="1">
    <w:p w:rsidR="003E0C84" w:rsidRDefault="003E0C84" w:rsidP="003E0C84"/>
    <w:p w:rsidR="003E0C84" w:rsidRDefault="003E0C84" w:rsidP="003E0C84">
      <w:pPr>
        <w:pStyle w:val="FootnoteText"/>
        <w:rPr>
          <w:rtl/>
        </w:rPr>
      </w:pPr>
    </w:p>
  </w:footnote>
  <w:footnote w:id="2">
    <w:p w:rsidR="003E0C84" w:rsidRDefault="003E0C84" w:rsidP="003E0C84"/>
    <w:p w:rsidR="003E0C84" w:rsidRDefault="003E0C84" w:rsidP="003E0C84">
      <w:pPr>
        <w:pStyle w:val="FootnoteText"/>
        <w:rPr>
          <w:rtl/>
        </w:rPr>
      </w:pPr>
    </w:p>
  </w:footnote>
  <w:footnote w:id="3">
    <w:p w:rsidR="003E0C84" w:rsidRDefault="003E0C84" w:rsidP="003E0C84"/>
    <w:p w:rsidR="003E0C84" w:rsidRDefault="003E0C84" w:rsidP="003E0C84">
      <w:pPr>
        <w:pStyle w:val="FootnoteText"/>
        <w:rPr>
          <w:rtl/>
        </w:rPr>
      </w:pPr>
    </w:p>
  </w:footnote>
  <w:footnote w:id="4">
    <w:p w:rsidR="003E0C84" w:rsidRDefault="003E0C84" w:rsidP="003E0C84"/>
    <w:p w:rsidR="003E0C84" w:rsidRDefault="003E0C84" w:rsidP="003E0C84">
      <w:pPr>
        <w:pStyle w:val="FootnoteText"/>
        <w:bidi w:val="0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0C84"/>
    <w:rsid w:val="00230A6F"/>
    <w:rsid w:val="003E0C84"/>
    <w:rsid w:val="005E48C7"/>
    <w:rsid w:val="00BF2A75"/>
    <w:rsid w:val="00D821D0"/>
    <w:rsid w:val="00F44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C8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inomial">
    <w:name w:val="binomial"/>
    <w:basedOn w:val="DefaultParagraphFont"/>
    <w:rsid w:val="003E0C84"/>
  </w:style>
  <w:style w:type="paragraph" w:styleId="FootnoteText">
    <w:name w:val="footnote text"/>
    <w:basedOn w:val="Normal"/>
    <w:link w:val="FootnoteTextChar"/>
    <w:uiPriority w:val="99"/>
    <w:semiHidden/>
    <w:unhideWhenUsed/>
    <w:rsid w:val="003E0C8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C84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2314</Characters>
  <Application>Microsoft Office Word</Application>
  <DocSecurity>0</DocSecurity>
  <Lines>19</Lines>
  <Paragraphs>5</Paragraphs>
  <ScaleCrop>false</ScaleCrop>
  <Company>MRT www.Win2Farsi.com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MRT</cp:lastModifiedBy>
  <cp:revision>1</cp:revision>
  <dcterms:created xsi:type="dcterms:W3CDTF">2018-11-16T07:49:00Z</dcterms:created>
  <dcterms:modified xsi:type="dcterms:W3CDTF">2018-11-16T07:51:00Z</dcterms:modified>
</cp:coreProperties>
</file>