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6A52DA" w:rsidRDefault="006A52DA" w:rsidP="00494130">
      <w:pPr>
        <w:pStyle w:val="1"/>
        <w:spacing w:before="170"/>
        <w:ind w:left="0"/>
        <w:rPr>
          <w:rFonts w:eastAsiaTheme="minorEastAsia"/>
          <w:lang w:eastAsia="ko-KR"/>
        </w:rPr>
      </w:pPr>
      <w:r>
        <w:rPr>
          <w:rFonts w:eastAsiaTheme="minorEastAsia" w:hint="eastAsia"/>
          <w:color w:val="337AB7"/>
          <w:lang w:eastAsia="ko-KR"/>
        </w:rPr>
        <w:t>Effect of magnetic acupuncture attachment on Neigun(acupoint P6) on autonomic nervous system</w:t>
      </w:r>
    </w:p>
    <w:p w:rsidR="006A52DA" w:rsidRDefault="006A52DA" w:rsidP="005973B9">
      <w:pPr>
        <w:pStyle w:val="a3"/>
        <w:spacing w:before="73" w:line="198" w:lineRule="exact"/>
        <w:ind w:left="100" w:right="5987"/>
        <w:rPr>
          <w:rFonts w:ascii="Arial" w:eastAsiaTheme="minorEastAsia"/>
          <w:lang w:eastAsia="ko-KR"/>
        </w:rPr>
      </w:pPr>
      <w:r>
        <w:rPr>
          <w:rFonts w:ascii="Arial" w:eastAsiaTheme="minorEastAsia" w:hint="eastAsia"/>
          <w:lang w:eastAsia="ko-KR"/>
        </w:rPr>
        <w:t>Hyun Hwa Shin, MD, Department of Family medicine, College of Medicine, The Catholic University of Korea</w:t>
      </w:r>
    </w:p>
    <w:p w:rsidR="006A52DA" w:rsidRDefault="006A52DA" w:rsidP="006A52DA">
      <w:pPr>
        <w:pStyle w:val="a3"/>
        <w:spacing w:before="73" w:line="198" w:lineRule="exact"/>
        <w:ind w:left="100" w:right="5987"/>
        <w:rPr>
          <w:rFonts w:ascii="Arial" w:eastAsiaTheme="minorEastAsia"/>
          <w:lang w:eastAsia="ko-KR"/>
        </w:rPr>
      </w:pPr>
      <w:r>
        <w:rPr>
          <w:rFonts w:ascii="Arial" w:eastAsiaTheme="minorEastAsia" w:hint="eastAsia"/>
          <w:lang w:eastAsia="ko-KR"/>
        </w:rPr>
        <w:t>Jung Yoo, MD, Department of Family medicine, College of Medicine, The Catholic University of Korea</w:t>
      </w:r>
    </w:p>
    <w:p w:rsidR="006A52DA" w:rsidRDefault="006A52DA" w:rsidP="006A52DA">
      <w:pPr>
        <w:pStyle w:val="a3"/>
        <w:spacing w:before="73" w:line="198" w:lineRule="exact"/>
        <w:ind w:left="100" w:right="5987"/>
        <w:rPr>
          <w:rFonts w:ascii="Arial" w:eastAsiaTheme="minorEastAsia"/>
          <w:lang w:eastAsia="ko-KR"/>
        </w:rPr>
      </w:pPr>
      <w:r>
        <w:rPr>
          <w:rFonts w:ascii="Arial" w:eastAsiaTheme="minorEastAsia" w:hint="eastAsia"/>
          <w:lang w:eastAsia="ko-KR"/>
        </w:rPr>
        <w:t>Joon Seoung Noh, MD, Department of Family medicine, College of Medicine, The Catholic University of Korea</w:t>
      </w:r>
    </w:p>
    <w:p w:rsidR="006A52DA" w:rsidRDefault="00F41CD1" w:rsidP="006A52DA">
      <w:pPr>
        <w:pStyle w:val="a3"/>
        <w:spacing w:before="73" w:line="198" w:lineRule="exact"/>
        <w:ind w:left="100" w:right="5987"/>
        <w:rPr>
          <w:rFonts w:ascii="Arial" w:eastAsiaTheme="minorEastAsia"/>
          <w:lang w:eastAsia="ko-KR"/>
        </w:rPr>
      </w:pPr>
      <w:r>
        <w:rPr>
          <w:rFonts w:ascii="Arial" w:eastAsiaTheme="minorEastAsia" w:hint="eastAsia"/>
          <w:lang w:eastAsia="ko-KR"/>
        </w:rPr>
        <w:t>Whan Seok Chio</w:t>
      </w:r>
      <w:r w:rsidR="006A52DA">
        <w:rPr>
          <w:rFonts w:ascii="Arial" w:eastAsiaTheme="minorEastAsia" w:hint="eastAsia"/>
          <w:lang w:eastAsia="ko-KR"/>
        </w:rPr>
        <w:t>, MD</w:t>
      </w:r>
      <w:r>
        <w:rPr>
          <w:rFonts w:ascii="Arial" w:eastAsiaTheme="minorEastAsia" w:hint="eastAsia"/>
          <w:lang w:eastAsia="ko-KR"/>
        </w:rPr>
        <w:t>, PhD</w:t>
      </w:r>
      <w:r w:rsidR="006A52DA">
        <w:rPr>
          <w:rFonts w:ascii="Arial" w:eastAsiaTheme="minorEastAsia" w:hint="eastAsia"/>
          <w:lang w:eastAsia="ko-KR"/>
        </w:rPr>
        <w:t>, Department of Family medicine, College of Medicine, The Catholic University of Korea</w:t>
      </w:r>
    </w:p>
    <w:p w:rsidR="006A52DA" w:rsidRPr="006A52DA" w:rsidRDefault="006A52DA" w:rsidP="006A52DA">
      <w:pPr>
        <w:pStyle w:val="a3"/>
        <w:spacing w:before="73" w:line="198" w:lineRule="exact"/>
        <w:ind w:left="100" w:right="5987"/>
        <w:rPr>
          <w:rFonts w:ascii="Arial" w:eastAsiaTheme="minorEastAsia"/>
          <w:lang w:eastAsia="ko-KR"/>
        </w:rPr>
      </w:pPr>
    </w:p>
    <w:p w:rsidR="00AE3E37" w:rsidRPr="006A52DA" w:rsidRDefault="00AE3E37">
      <w:pPr>
        <w:rPr>
          <w:rFonts w:ascii="Arial" w:eastAsiaTheme="minorEastAsia"/>
          <w:sz w:val="21"/>
          <w:lang w:eastAsia="ko-KR"/>
        </w:rPr>
        <w:sectPr w:rsidR="00AE3E37" w:rsidRPr="006A52DA">
          <w:headerReference w:type="default" r:id="rId8"/>
          <w:footerReference w:type="default" r:id="rId9"/>
          <w:type w:val="continuous"/>
          <w:pgSz w:w="11910" w:h="16840"/>
          <w:pgMar w:top="1740" w:right="600" w:bottom="840" w:left="620" w:header="541" w:footer="642" w:gutter="0"/>
          <w:cols w:space="720"/>
        </w:sectPr>
      </w:pPr>
    </w:p>
    <w:p w:rsidR="00AE3E37" w:rsidRPr="00F41CD1" w:rsidRDefault="00A9710C">
      <w:pPr>
        <w:pStyle w:val="3"/>
        <w:spacing w:before="147"/>
        <w:jc w:val="both"/>
        <w:rPr>
          <w:rFonts w:eastAsiaTheme="minorEastAsia"/>
          <w:lang w:eastAsia="ko-KR"/>
        </w:rPr>
      </w:pPr>
      <w:r>
        <w:rPr>
          <w:color w:val="BF5A14"/>
        </w:rPr>
        <w:lastRenderedPageBreak/>
        <w:t>Abstract</w:t>
      </w:r>
    </w:p>
    <w:p w:rsidR="00F41CD1" w:rsidRDefault="00F41CD1" w:rsidP="00F41CD1">
      <w:r>
        <w:rPr>
          <w:rFonts w:hint="eastAsia"/>
          <w:b/>
          <w:bCs/>
        </w:rPr>
        <w:t>Background:</w:t>
      </w:r>
      <w:r>
        <w:rPr>
          <w:rFonts w:hint="eastAsia"/>
        </w:rPr>
        <w:t xml:space="preserve"> Neigun(acupoint P6) is known to be good acupoint for treating nausea and vomiting occur after surgery and chemotherapy. In addition, it has been reported to stabilize the sympathetic nervous system. The purpose of this study was to investigate the effect of non-invasive magnetic acupunct</w:t>
      </w:r>
      <w:r w:rsidR="00E13725">
        <w:rPr>
          <w:rFonts w:hint="eastAsia"/>
        </w:rPr>
        <w:t>ure attachment on the autonomic</w:t>
      </w:r>
      <w:r w:rsidR="00E13725">
        <w:rPr>
          <w:rFonts w:eastAsiaTheme="minorEastAsia" w:hint="eastAsia"/>
          <w:lang w:eastAsia="ko-KR"/>
        </w:rPr>
        <w:t xml:space="preserve"> </w:t>
      </w:r>
      <w:r>
        <w:rPr>
          <w:rFonts w:hint="eastAsia"/>
        </w:rPr>
        <w:t>nervous system by measuring HRV(Heart Rate Variability).</w:t>
      </w:r>
    </w:p>
    <w:p w:rsidR="00F41CD1" w:rsidRDefault="00F41CD1" w:rsidP="00F41CD1">
      <w:r>
        <w:rPr>
          <w:rFonts w:hint="eastAsia"/>
          <w:b/>
          <w:bCs/>
        </w:rPr>
        <w:t>Method:</w:t>
      </w:r>
      <w:r>
        <w:rPr>
          <w:rFonts w:hint="eastAsia"/>
        </w:rPr>
        <w:t xml:space="preserve"> 20 healthy volunteers were recruited through advertisement. Magnetic acupuncture was attached to either Neigun(acupoint P6) or Zu San Li(acupoint ST36) by the randomization table, and HRV was measured before its attachment and 20 minutes after its attachment. One week later, we repeated the procedure at the same time on different acupoint. We measured HRV using SA-2000(Medicare, Korea). </w:t>
      </w:r>
    </w:p>
    <w:p w:rsidR="00F41CD1" w:rsidRDefault="00F41CD1" w:rsidP="00F41CD1">
      <w:pPr>
        <w:rPr>
          <w:rFonts w:eastAsiaTheme="minorEastAsia"/>
          <w:lang w:eastAsia="ko-KR"/>
        </w:rPr>
      </w:pPr>
      <w:r>
        <w:rPr>
          <w:rFonts w:hint="eastAsia"/>
          <w:b/>
          <w:bCs/>
        </w:rPr>
        <w:t xml:space="preserve">Result: </w:t>
      </w:r>
      <w:r>
        <w:rPr>
          <w:rFonts w:hint="eastAsia"/>
        </w:rPr>
        <w:t>Of the 20 subjects who completed the trial, 5 were male and 15 were female, and the mean age of each was 26 and 27. There was no significant difference in HRV indices before attaching the magnetic acupuncture. However, the Neigun(acupoint P6) stimulation showed significant increase in the percent change of SDNN(The Standard deviation of Normal to Normal intervals) when stimulated by magnetic acupuncture(P=0.018) compared to Zu San Li(acupoint ST36) stimulation, but, the percent change of RMSSD(Square root of the mean of the sum of the square of differences between adjacent NN intervals), which mainly reflects parasympathetic activity, was not significant(P=0.069).</w:t>
      </w:r>
    </w:p>
    <w:p w:rsidR="00F41CD1" w:rsidRDefault="00F41CD1" w:rsidP="00F41CD1">
      <w:pPr>
        <w:rPr>
          <w:rFonts w:eastAsiaTheme="minorEastAsia"/>
          <w:lang w:eastAsia="ko-KR"/>
        </w:rPr>
      </w:pPr>
    </w:p>
    <w:p w:rsidR="00F41CD1" w:rsidRDefault="00F41CD1" w:rsidP="00F41CD1">
      <w:pPr>
        <w:rPr>
          <w:rFonts w:eastAsiaTheme="minorEastAsia"/>
          <w:lang w:eastAsia="ko-KR"/>
        </w:rPr>
      </w:pPr>
    </w:p>
    <w:p w:rsidR="00F41CD1" w:rsidRDefault="00F41CD1" w:rsidP="00F41CD1">
      <w:pPr>
        <w:rPr>
          <w:rFonts w:eastAsiaTheme="minorEastAsia"/>
          <w:lang w:eastAsia="ko-KR"/>
        </w:rPr>
      </w:pPr>
    </w:p>
    <w:p w:rsidR="00F41CD1" w:rsidRPr="00F41CD1" w:rsidRDefault="00F41CD1" w:rsidP="00F41CD1">
      <w:pPr>
        <w:rPr>
          <w:rFonts w:eastAsiaTheme="minorEastAsia"/>
          <w:lang w:eastAsia="ko-KR"/>
        </w:rPr>
      </w:pPr>
    </w:p>
    <w:p w:rsidR="00F41CD1" w:rsidRDefault="00A9710C" w:rsidP="00F41CD1">
      <w:pPr>
        <w:rPr>
          <w:rFonts w:eastAsiaTheme="minorEastAsia"/>
          <w:b/>
          <w:lang w:eastAsia="ko-KR"/>
        </w:rPr>
      </w:pPr>
      <w:r>
        <w:rPr>
          <w:b/>
        </w:rPr>
        <w:br w:type="column"/>
      </w:r>
    </w:p>
    <w:p w:rsidR="00F41CD1" w:rsidRDefault="00F41CD1" w:rsidP="00F41CD1">
      <w:pPr>
        <w:rPr>
          <w:rFonts w:eastAsiaTheme="minorEastAsia"/>
          <w:b/>
          <w:lang w:eastAsia="ko-KR"/>
        </w:rPr>
      </w:pPr>
    </w:p>
    <w:p w:rsidR="00F41CD1" w:rsidRPr="00F41CD1" w:rsidRDefault="00F41CD1" w:rsidP="00F41CD1">
      <w:pPr>
        <w:rPr>
          <w:rFonts w:ascii="굴림" w:eastAsia="굴림"/>
          <w:sz w:val="20"/>
          <w:lang w:eastAsia="ko-KR"/>
        </w:rPr>
      </w:pPr>
      <w:r>
        <w:rPr>
          <w:rFonts w:hint="eastAsia"/>
          <w:b/>
          <w:bCs/>
        </w:rPr>
        <w:t>Conclusion:</w:t>
      </w:r>
      <w:r>
        <w:rPr>
          <w:rFonts w:hint="eastAsia"/>
        </w:rPr>
        <w:t xml:space="preserve"> The result of this study suggest that attaching the magnetic acupuncture on Neigun(acupoint P6) has a positive effect on autonomous function. </w:t>
      </w:r>
    </w:p>
    <w:p w:rsidR="00AE3E37" w:rsidRDefault="00AE3E37">
      <w:pPr>
        <w:pStyle w:val="3"/>
        <w:spacing w:before="74"/>
      </w:pPr>
    </w:p>
    <w:p w:rsidR="005973B9" w:rsidRPr="00F4248F" w:rsidRDefault="00F4248F" w:rsidP="005973B9">
      <w:pPr>
        <w:spacing w:line="204" w:lineRule="exact"/>
        <w:rPr>
          <w:rFonts w:ascii="Arial" w:eastAsiaTheme="minorEastAsia" w:hint="eastAsia"/>
          <w:b/>
          <w:sz w:val="20"/>
          <w:lang w:eastAsia="ko-KR"/>
        </w:rPr>
      </w:pPr>
      <w:r>
        <w:rPr>
          <w:rFonts w:ascii="Arial"/>
          <w:b/>
          <w:color w:val="BF5A14"/>
          <w:sz w:val="20"/>
        </w:rPr>
        <w:br/>
        <w:t>Recent Publications</w:t>
      </w:r>
      <w:bookmarkStart w:id="0" w:name="_GoBack"/>
      <w:bookmarkEnd w:id="0"/>
    </w:p>
    <w:p w:rsidR="009447E1" w:rsidRPr="009447E1" w:rsidRDefault="00F41CD1" w:rsidP="009447E1">
      <w:pPr>
        <w:pStyle w:val="a4"/>
        <w:numPr>
          <w:ilvl w:val="0"/>
          <w:numId w:val="3"/>
        </w:numPr>
        <w:tabs>
          <w:tab w:val="left" w:pos="384"/>
        </w:tabs>
        <w:spacing w:before="103" w:line="216" w:lineRule="exact"/>
        <w:ind w:right="138" w:hanging="283"/>
        <w:rPr>
          <w:sz w:val="18"/>
        </w:rPr>
      </w:pPr>
      <w:r>
        <w:rPr>
          <w:rFonts w:eastAsiaTheme="minorEastAsia" w:hint="eastAsia"/>
          <w:sz w:val="18"/>
          <w:lang w:eastAsia="ko-KR"/>
        </w:rPr>
        <w:t>Joa</w:t>
      </w:r>
      <w:r w:rsidR="00231EFE">
        <w:rPr>
          <w:rFonts w:eastAsiaTheme="minorEastAsia" w:hint="eastAsia"/>
          <w:sz w:val="18"/>
          <w:lang w:eastAsia="ko-KR"/>
        </w:rPr>
        <w:t>ane W.Y.Chung (2014) Effect of a</w:t>
      </w:r>
      <w:r>
        <w:rPr>
          <w:rFonts w:eastAsiaTheme="minorEastAsia" w:hint="eastAsia"/>
          <w:sz w:val="18"/>
          <w:lang w:eastAsia="ko-KR"/>
        </w:rPr>
        <w:t>cupuncture on heart rate variability</w:t>
      </w:r>
      <w:r w:rsidR="009447E1">
        <w:rPr>
          <w:rFonts w:eastAsiaTheme="minorEastAsia" w:hint="eastAsia"/>
          <w:sz w:val="18"/>
          <w:lang w:eastAsia="ko-KR"/>
        </w:rPr>
        <w:t xml:space="preserve">: a systemic review. Evid Based Complement Alternat med.  </w:t>
      </w:r>
      <w:r w:rsidR="00231EFE">
        <w:rPr>
          <w:rFonts w:eastAsiaTheme="minorEastAsia" w:hint="eastAsia"/>
          <w:sz w:val="18"/>
          <w:lang w:eastAsia="ko-KR"/>
        </w:rPr>
        <w:t>2014;2014:819-871</w:t>
      </w:r>
    </w:p>
    <w:p w:rsidR="005973B9" w:rsidRDefault="00231EFE" w:rsidP="005973B9">
      <w:pPr>
        <w:pStyle w:val="a4"/>
        <w:numPr>
          <w:ilvl w:val="0"/>
          <w:numId w:val="3"/>
        </w:numPr>
        <w:tabs>
          <w:tab w:val="left" w:pos="384"/>
        </w:tabs>
        <w:spacing w:before="103" w:line="216" w:lineRule="exact"/>
        <w:ind w:right="138" w:hanging="283"/>
        <w:rPr>
          <w:sz w:val="18"/>
        </w:rPr>
      </w:pPr>
      <w:r>
        <w:rPr>
          <w:rFonts w:eastAsiaTheme="minorEastAsia" w:hint="eastAsia"/>
          <w:sz w:val="18"/>
          <w:lang w:eastAsia="ko-KR"/>
        </w:rPr>
        <w:t>Zheng LH (2008) Effect of transcutaneous electrical acupoint stimulation o nausea and vomiting induced by patient controlled intr</w:t>
      </w:r>
      <w:r w:rsidR="009447E1">
        <w:rPr>
          <w:rFonts w:eastAsiaTheme="minorEastAsia" w:hint="eastAsia"/>
          <w:sz w:val="18"/>
          <w:lang w:eastAsia="ko-KR"/>
        </w:rPr>
        <w:t xml:space="preserve">avenous analgesia with tramadol. Chin J Integr med. </w:t>
      </w:r>
      <w:r>
        <w:rPr>
          <w:rFonts w:eastAsiaTheme="minorEastAsia" w:hint="eastAsia"/>
          <w:sz w:val="18"/>
          <w:lang w:eastAsia="ko-KR"/>
        </w:rPr>
        <w:t>2008;14(1):61-4</w:t>
      </w:r>
    </w:p>
    <w:p w:rsidR="005973B9" w:rsidRDefault="00E13725" w:rsidP="005973B9">
      <w:pPr>
        <w:pStyle w:val="a4"/>
        <w:numPr>
          <w:ilvl w:val="0"/>
          <w:numId w:val="3"/>
        </w:numPr>
        <w:tabs>
          <w:tab w:val="left" w:pos="384"/>
        </w:tabs>
        <w:spacing w:line="216" w:lineRule="exact"/>
        <w:ind w:right="137" w:hanging="283"/>
        <w:rPr>
          <w:sz w:val="18"/>
        </w:rPr>
      </w:pPr>
      <w:r>
        <w:rPr>
          <w:rFonts w:eastAsiaTheme="minorEastAsia" w:hint="eastAsia"/>
          <w:sz w:val="18"/>
          <w:lang w:eastAsia="ko-KR"/>
        </w:rPr>
        <w:t>Munenori Minagawa (2013</w:t>
      </w:r>
      <w:r w:rsidR="00C673AE">
        <w:rPr>
          <w:rFonts w:eastAsiaTheme="minorEastAsia" w:hint="eastAsia"/>
          <w:sz w:val="18"/>
          <w:lang w:eastAsia="ko-KR"/>
        </w:rPr>
        <w:t>) Site-specific organ-selective effect of epifascial acupuncture on cardiac and gastric autonomic functions</w:t>
      </w:r>
      <w:r w:rsidR="00233E79">
        <w:rPr>
          <w:rFonts w:eastAsiaTheme="minorEastAsia" w:hint="eastAsia"/>
          <w:sz w:val="18"/>
          <w:lang w:eastAsia="ko-KR"/>
        </w:rPr>
        <w:t xml:space="preserve">. Auton Neurosci. </w:t>
      </w:r>
      <w:r>
        <w:rPr>
          <w:rFonts w:eastAsiaTheme="minorEastAsia" w:hint="eastAsia"/>
          <w:sz w:val="18"/>
          <w:lang w:eastAsia="ko-KR"/>
        </w:rPr>
        <w:t>2013;179(1-2):151-4</w:t>
      </w:r>
    </w:p>
    <w:p w:rsidR="005973B9" w:rsidRDefault="00DB7EB3" w:rsidP="005973B9">
      <w:pPr>
        <w:pStyle w:val="a4"/>
        <w:numPr>
          <w:ilvl w:val="0"/>
          <w:numId w:val="3"/>
        </w:numPr>
        <w:tabs>
          <w:tab w:val="left" w:pos="384"/>
        </w:tabs>
        <w:spacing w:line="216" w:lineRule="exact"/>
        <w:ind w:right="138" w:hanging="283"/>
        <w:rPr>
          <w:sz w:val="18"/>
        </w:rPr>
      </w:pPr>
      <w:r>
        <w:rPr>
          <w:rFonts w:eastAsiaTheme="minorEastAsia" w:hint="eastAsia"/>
          <w:sz w:val="18"/>
          <w:lang w:eastAsia="ko-KR"/>
        </w:rPr>
        <w:t>Yin J (2010) Gastrointestinal motility disorders and acupuncture</w:t>
      </w:r>
      <w:r w:rsidR="00233E79">
        <w:rPr>
          <w:rFonts w:eastAsiaTheme="minorEastAsia" w:hint="eastAsia"/>
          <w:sz w:val="18"/>
          <w:lang w:eastAsia="ko-KR"/>
        </w:rPr>
        <w:t xml:space="preserve">. Auton neurosci. </w:t>
      </w:r>
      <w:r>
        <w:rPr>
          <w:rFonts w:eastAsiaTheme="minorEastAsia" w:hint="eastAsia"/>
          <w:sz w:val="18"/>
          <w:lang w:eastAsia="ko-KR"/>
        </w:rPr>
        <w:t xml:space="preserve"> 2010;157(1-2):31-7</w:t>
      </w:r>
    </w:p>
    <w:p w:rsidR="00AE3E37" w:rsidRDefault="00DB7EB3" w:rsidP="00DB7EB3">
      <w:pPr>
        <w:pStyle w:val="a4"/>
        <w:numPr>
          <w:ilvl w:val="0"/>
          <w:numId w:val="3"/>
        </w:numPr>
        <w:tabs>
          <w:tab w:val="left" w:pos="384"/>
        </w:tabs>
        <w:spacing w:before="92" w:line="218" w:lineRule="exact"/>
        <w:ind w:hanging="283"/>
        <w:sectPr w:rsidR="00AE3E37">
          <w:type w:val="continuous"/>
          <w:pgSz w:w="11910" w:h="16840"/>
          <w:pgMar w:top="1740" w:right="600" w:bottom="840" w:left="620" w:header="720" w:footer="720" w:gutter="0"/>
          <w:cols w:num="2" w:space="720" w:equalWidth="0">
            <w:col w:w="5214" w:space="138"/>
            <w:col w:w="5338"/>
          </w:cols>
        </w:sectPr>
      </w:pPr>
      <w:r>
        <w:rPr>
          <w:rFonts w:eastAsiaTheme="minorEastAsia" w:hint="eastAsia"/>
          <w:sz w:val="18"/>
          <w:lang w:eastAsia="ko-KR"/>
        </w:rPr>
        <w:t>Alraek T (2011) Acupuncture and heart rate variability</w:t>
      </w:r>
      <w:r w:rsidR="009447E1">
        <w:rPr>
          <w:rFonts w:eastAsiaTheme="minorEastAsia" w:hint="eastAsia"/>
          <w:sz w:val="18"/>
          <w:lang w:eastAsia="ko-KR"/>
        </w:rPr>
        <w:t>. Acupunct Med.</w:t>
      </w:r>
      <w:r>
        <w:rPr>
          <w:rFonts w:eastAsiaTheme="minorEastAsia" w:hint="eastAsia"/>
          <w:sz w:val="18"/>
          <w:lang w:eastAsia="ko-KR"/>
        </w:rPr>
        <w:t>2011;29(1):7-8</w:t>
      </w:r>
    </w:p>
    <w:p w:rsidR="00AE3E37" w:rsidRDefault="00292ED9">
      <w:pPr>
        <w:pStyle w:val="a3"/>
        <w:spacing w:line="40" w:lineRule="exact"/>
        <w:ind w:left="2202"/>
        <w:rPr>
          <w:rFonts w:ascii="Calibri"/>
          <w:sz w:val="4"/>
        </w:rPr>
      </w:pPr>
      <w:r>
        <w:rPr>
          <w:rFonts w:ascii="Calibri"/>
          <w:noProof/>
          <w:sz w:val="4"/>
          <w:lang w:eastAsia="ko-KR"/>
        </w:rPr>
        <w:lastRenderedPageBreak/>
        <mc:AlternateContent>
          <mc:Choice Requires="wpg">
            <w:drawing>
              <wp:inline distT="0" distB="0" distL="0" distR="0" wp14:anchorId="7A36F931" wp14:editId="2A02BB5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0C2667" w:rsidRDefault="008756E6" w:rsidP="00404E5B">
      <w:pPr>
        <w:spacing w:before="92"/>
        <w:ind w:right="4234"/>
        <w:rPr>
          <w:rFonts w:ascii="Arial" w:eastAsiaTheme="minorEastAsia"/>
          <w:lang w:eastAsia="ko-KR"/>
        </w:rPr>
      </w:pPr>
      <w:r>
        <w:rPr>
          <w:noProof/>
        </w:rPr>
        <w:t xml:space="preserve">              </w:t>
      </w:r>
      <w:r w:rsidR="00DB7EB3">
        <w:rPr>
          <w:rFonts w:eastAsiaTheme="minorEastAsia" w:hint="eastAsia"/>
          <w:noProof/>
          <w:sz w:val="18"/>
          <w:lang w:eastAsia="ko-KR"/>
        </w:rPr>
        <w:drawing>
          <wp:inline distT="0" distB="0" distL="0" distR="0" wp14:anchorId="0AA9F501" wp14:editId="3528EC60">
            <wp:extent cx="534009" cy="710656"/>
            <wp:effectExtent l="0" t="0" r="0" b="0"/>
            <wp:docPr id="1" name="그림 1" descr="E:\IMG_966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IMG_9666-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5451" cy="712575"/>
                    </a:xfrm>
                    <a:prstGeom prst="rect">
                      <a:avLst/>
                    </a:prstGeom>
                    <a:noFill/>
                    <a:ln>
                      <a:noFill/>
                    </a:ln>
                  </pic:spPr>
                </pic:pic>
              </a:graphicData>
            </a:graphic>
          </wp:inline>
        </w:drawing>
      </w:r>
      <w:r w:rsidR="00DB7EB3">
        <w:rPr>
          <w:rFonts w:eastAsiaTheme="minorEastAsia" w:hint="eastAsia"/>
          <w:noProof/>
          <w:lang w:eastAsia="ko-KR"/>
        </w:rPr>
        <w:t xml:space="preserve"> </w:t>
      </w:r>
      <w:r w:rsidR="00A9710C">
        <w:rPr>
          <w:rFonts w:ascii="Arial"/>
          <w:color w:val="BF5A14"/>
        </w:rPr>
        <w:t>Biography</w:t>
      </w:r>
    </w:p>
    <w:p w:rsidR="00B55373" w:rsidRDefault="00B55373">
      <w:pPr>
        <w:spacing w:before="41" w:line="154" w:lineRule="exact"/>
        <w:ind w:left="213" w:right="231"/>
        <w:jc w:val="both"/>
        <w:rPr>
          <w:rFonts w:asciiTheme="minorEastAsia" w:eastAsiaTheme="minorEastAsia" w:hAnsiTheme="minorEastAsia"/>
          <w:sz w:val="14"/>
          <w:lang w:eastAsia="ko-KR"/>
        </w:rPr>
      </w:pPr>
      <w:r>
        <w:rPr>
          <w:rFonts w:asciiTheme="minorEastAsia" w:eastAsiaTheme="minorEastAsia" w:hAnsiTheme="minorEastAsia" w:hint="eastAsia"/>
          <w:sz w:val="14"/>
          <w:lang w:eastAsia="ko-KR"/>
        </w:rPr>
        <w:t>Hyun Hwa Shin has graduated from</w:t>
      </w:r>
      <w:r w:rsidR="000C2667">
        <w:rPr>
          <w:rFonts w:asciiTheme="minorEastAsia" w:eastAsiaTheme="minorEastAsia" w:hAnsiTheme="minorEastAsia" w:hint="eastAsia"/>
          <w:sz w:val="14"/>
          <w:lang w:eastAsia="ko-KR"/>
        </w:rPr>
        <w:t xml:space="preserve"> the</w:t>
      </w:r>
      <w:r>
        <w:rPr>
          <w:rFonts w:asciiTheme="minorEastAsia" w:eastAsiaTheme="minorEastAsia" w:hAnsiTheme="minorEastAsia" w:hint="eastAsia"/>
          <w:sz w:val="14"/>
          <w:lang w:eastAsia="ko-KR"/>
        </w:rPr>
        <w:t xml:space="preserve"> </w:t>
      </w:r>
      <w:r w:rsidR="000C2667">
        <w:rPr>
          <w:rFonts w:asciiTheme="minorEastAsia" w:eastAsiaTheme="minorEastAsia" w:hAnsiTheme="minorEastAsia" w:hint="eastAsia"/>
          <w:sz w:val="14"/>
          <w:lang w:eastAsia="ko-KR"/>
        </w:rPr>
        <w:t>College of Medicine</w:t>
      </w:r>
      <w:r>
        <w:rPr>
          <w:rFonts w:asciiTheme="minorEastAsia" w:eastAsiaTheme="minorEastAsia" w:hAnsiTheme="minorEastAsia" w:hint="eastAsia"/>
          <w:sz w:val="14"/>
          <w:lang w:eastAsia="ko-KR"/>
        </w:rPr>
        <w:t xml:space="preserve"> </w:t>
      </w:r>
      <w:r w:rsidR="000C2667">
        <w:rPr>
          <w:rFonts w:asciiTheme="minorEastAsia" w:eastAsiaTheme="minorEastAsia" w:hAnsiTheme="minorEastAsia" w:hint="eastAsia"/>
          <w:sz w:val="14"/>
          <w:lang w:eastAsia="ko-KR"/>
        </w:rPr>
        <w:t>at t</w:t>
      </w:r>
      <w:r>
        <w:rPr>
          <w:rFonts w:asciiTheme="minorEastAsia" w:eastAsiaTheme="minorEastAsia" w:hAnsiTheme="minorEastAsia" w:hint="eastAsia"/>
          <w:sz w:val="14"/>
          <w:lang w:eastAsia="ko-KR"/>
        </w:rPr>
        <w:t>he Catholic University of Korea, and she is currently in her third year of residen</w:t>
      </w:r>
      <w:r w:rsidR="000C2667">
        <w:rPr>
          <w:rFonts w:asciiTheme="minorEastAsia" w:eastAsiaTheme="minorEastAsia" w:hAnsiTheme="minorEastAsia" w:hint="eastAsia"/>
          <w:sz w:val="14"/>
          <w:lang w:eastAsia="ko-KR"/>
        </w:rPr>
        <w:t>cy</w:t>
      </w:r>
      <w:r>
        <w:rPr>
          <w:rFonts w:asciiTheme="minorEastAsia" w:eastAsiaTheme="minorEastAsia" w:hAnsiTheme="minorEastAsia" w:hint="eastAsia"/>
          <w:sz w:val="14"/>
          <w:lang w:eastAsia="ko-KR"/>
        </w:rPr>
        <w:t xml:space="preserve"> in </w:t>
      </w:r>
      <w:r w:rsidR="000C2667">
        <w:rPr>
          <w:rFonts w:asciiTheme="minorEastAsia" w:eastAsiaTheme="minorEastAsia" w:hAnsiTheme="minorEastAsia" w:hint="eastAsia"/>
          <w:sz w:val="14"/>
          <w:lang w:eastAsia="ko-KR"/>
        </w:rPr>
        <w:t xml:space="preserve">the department of </w:t>
      </w:r>
      <w:r>
        <w:rPr>
          <w:rFonts w:asciiTheme="minorEastAsia" w:eastAsiaTheme="minorEastAsia" w:hAnsiTheme="minorEastAsia" w:hint="eastAsia"/>
          <w:sz w:val="14"/>
          <w:lang w:eastAsia="ko-KR"/>
        </w:rPr>
        <w:t xml:space="preserve">Family Medicine. She has her </w:t>
      </w:r>
      <w:r w:rsidR="000C2667">
        <w:rPr>
          <w:rFonts w:asciiTheme="minorEastAsia" w:eastAsiaTheme="minorEastAsia" w:hAnsiTheme="minorEastAsia" w:hint="eastAsia"/>
          <w:sz w:val="14"/>
          <w:lang w:eastAsia="ko-KR"/>
        </w:rPr>
        <w:t>passion in improving health and wellbeing and she is interested in the field of alternative medicine and diseases associated with pain and its management.  Much of her studies focuses on long term treatment of chronic diseases.</w:t>
      </w:r>
    </w:p>
    <w:p w:rsidR="00AE3E37" w:rsidRDefault="00A9710C">
      <w:pPr>
        <w:spacing w:before="62"/>
        <w:ind w:left="4217" w:right="4235"/>
        <w:jc w:val="center"/>
        <w:rPr>
          <w:rFonts w:ascii="Arial"/>
          <w:sz w:val="14"/>
        </w:rPr>
      </w:pPr>
      <w:r>
        <w:rPr>
          <w:rFonts w:ascii="Arial"/>
          <w:sz w:val="14"/>
        </w:rPr>
        <w:t xml:space="preserve">Email: </w:t>
      </w:r>
      <w:hyperlink r:id="rId11" w:history="1">
        <w:r w:rsidR="000C2667" w:rsidRPr="00CD57CE">
          <w:rPr>
            <w:rStyle w:val="a8"/>
            <w:rFonts w:ascii="Arial" w:eastAsiaTheme="minorEastAsia" w:hint="eastAsia"/>
            <w:sz w:val="14"/>
            <w:lang w:eastAsia="ko-KR"/>
          </w:rPr>
          <w:t>pink88101@gmail</w:t>
        </w:r>
        <w:r w:rsidR="000C2667" w:rsidRPr="00CD57CE">
          <w:rPr>
            <w:rStyle w:val="a8"/>
            <w:rFonts w:ascii="Arial"/>
            <w:sz w:val="14"/>
          </w:rPr>
          <w:t>.com</w:t>
        </w:r>
      </w:hyperlink>
    </w:p>
    <w:p w:rsidR="00AE3E37" w:rsidRDefault="00292ED9">
      <w:pPr>
        <w:pStyle w:val="a3"/>
        <w:spacing w:before="2"/>
        <w:rPr>
          <w:rFonts w:ascii="Arial"/>
          <w:sz w:val="19"/>
        </w:rPr>
      </w:pPr>
      <w:r>
        <w:rPr>
          <w:noProof/>
          <w:lang w:eastAsia="ko-K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F41CD1" w:rsidRDefault="00AE3E37">
      <w:pPr>
        <w:rPr>
          <w:rFonts w:ascii="Minion Pro" w:eastAsiaTheme="minorEastAsia"/>
          <w:sz w:val="24"/>
          <w:lang w:eastAsia="ko-KR"/>
        </w:rPr>
        <w:sectPr w:rsidR="00AE3E37" w:rsidRPr="00F41CD1">
          <w:type w:val="continuous"/>
          <w:pgSz w:w="11910" w:h="16840"/>
          <w:pgMar w:top="1740" w:right="600" w:bottom="840" w:left="620" w:header="720" w:footer="720" w:gutter="0"/>
          <w:cols w:space="720"/>
        </w:sectPr>
      </w:pPr>
    </w:p>
    <w:p w:rsidR="00231EFE" w:rsidRDefault="00231EFE">
      <w:pPr>
        <w:pStyle w:val="a3"/>
        <w:spacing w:before="3"/>
        <w:rPr>
          <w:rFonts w:ascii="Minion Pro"/>
          <w:sz w:val="26"/>
        </w:rPr>
      </w:pPr>
    </w:p>
    <w:p w:rsidR="00AE3E37" w:rsidRDefault="00231EFE" w:rsidP="00231EFE">
      <w:pPr>
        <w:pStyle w:val="a3"/>
        <w:rPr>
          <w:rFonts w:ascii="Minion Pro"/>
          <w:sz w:val="26"/>
        </w:rPr>
      </w:pPr>
      <w:r>
        <w:rPr>
          <w:rFonts w:ascii="Minion Pro"/>
          <w:sz w:val="26"/>
        </w:rPr>
        <w:fldChar w:fldCharType="begin"/>
      </w:r>
      <w:r>
        <w:rPr>
          <w:rFonts w:ascii="Minion Pro"/>
          <w:sz w:val="26"/>
        </w:rPr>
        <w:instrText xml:space="preserve"> ADDIN EN.REFLIST </w:instrText>
      </w:r>
      <w:r>
        <w:rPr>
          <w:rFonts w:ascii="Minion Pro"/>
          <w:sz w:val="26"/>
        </w:rPr>
        <w:fldChar w:fldCharType="end"/>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52DA" w:rsidRDefault="006A52DA">
      <w:r>
        <w:separator/>
      </w:r>
    </w:p>
  </w:endnote>
  <w:endnote w:type="continuationSeparator" w:id="0">
    <w:p w:rsidR="006A52DA" w:rsidRDefault="006A5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맑은 고딕">
    <w:panose1 w:val="020B0503020000020004"/>
    <w:charset w:val="81"/>
    <w:family w:val="modern"/>
    <w:pitch w:val="variable"/>
    <w:sig w:usb0="900002AF" w:usb1="0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굴림">
    <w:altName w:val="Gulim"/>
    <w:panose1 w:val="020B0600000101010101"/>
    <w:charset w:val="81"/>
    <w:family w:val="modern"/>
    <w:pitch w:val="variable"/>
    <w:sig w:usb0="B00002AF" w:usb1="69D77CFB" w:usb2="00000030" w:usb3="00000000" w:csb0="0008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2DA" w:rsidRDefault="006A52DA">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A52DA" w:rsidRPr="005B3A56" w:rsidRDefault="006A52DA">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6A52DA" w:rsidRPr="005B3A56" w:rsidRDefault="006A52DA">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6A52DA" w:rsidRPr="005B3A56" w:rsidRDefault="006A52DA">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6A52DA" w:rsidRPr="005B3A56" w:rsidRDefault="006A52DA">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A52DA" w:rsidRPr="005B3A56" w:rsidRDefault="006A52DA">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6A52DA" w:rsidRPr="005B3A56" w:rsidRDefault="006A52DA">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6A52DA" w:rsidRPr="005B3A56" w:rsidRDefault="006A52DA">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6A52DA" w:rsidRPr="005B3A56" w:rsidRDefault="006A52DA">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A52DA" w:rsidRPr="005B3A56" w:rsidRDefault="006A52DA">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6A52DA" w:rsidRPr="005B3A56" w:rsidRDefault="006A52DA">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6A52DA" w:rsidRPr="005B3A56" w:rsidRDefault="006A52DA">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6A52DA" w:rsidRPr="005B3A56" w:rsidRDefault="006A52DA">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52DA" w:rsidRDefault="006A52DA">
      <w:r>
        <w:separator/>
      </w:r>
    </w:p>
  </w:footnote>
  <w:footnote w:type="continuationSeparator" w:id="0">
    <w:p w:rsidR="006A52DA" w:rsidRDefault="006A52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2DA" w:rsidRDefault="006A52DA">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A52DA" w:rsidRPr="005B3A56" w:rsidRDefault="006A52DA">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6A52DA" w:rsidRPr="005B3A56" w:rsidRDefault="006A52DA">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A52DA" w:rsidRPr="005B3A56" w:rsidRDefault="006A52DA">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6A52DA" w:rsidRPr="005B3A56" w:rsidRDefault="006A52DA">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6A52DA" w:rsidRPr="005B3A56" w:rsidRDefault="006A52DA">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6A52DA" w:rsidRPr="005B3A56" w:rsidRDefault="006A52DA">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AF2A8536"/>
    <w:lvl w:ilvl="0" w:tplc="E0080D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defaultTabStop w:val="720"/>
  <w:drawingGridHorizontalSpacing w:val="110"/>
  <w:displayHorizontalDrawingGridEvery w:val="2"/>
  <w:characterSpacingControl w:val="doNotCompress"/>
  <w:hdrShapeDefaults>
    <o:shapedefaults v:ext="edit" spidmax="18433"/>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w Cen MT&lt;/FontName&gt;&lt;FontSize&gt;9&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2zfzpv9690rz4ere98xrvrfwvre0dfpxedz&quot;&gt;My EndNote Library&lt;record-ids&gt;&lt;item&gt;8&lt;/item&gt;&lt;/record-ids&gt;&lt;/item&gt;&lt;/Libraries&gt;"/>
  </w:docVars>
  <w:rsids>
    <w:rsidRoot w:val="00AE3E37"/>
    <w:rsid w:val="00074F85"/>
    <w:rsid w:val="000C2667"/>
    <w:rsid w:val="000E2911"/>
    <w:rsid w:val="001263DF"/>
    <w:rsid w:val="00231EFE"/>
    <w:rsid w:val="00233E79"/>
    <w:rsid w:val="00292ED9"/>
    <w:rsid w:val="003F378F"/>
    <w:rsid w:val="00404E5B"/>
    <w:rsid w:val="00414F7B"/>
    <w:rsid w:val="004355DC"/>
    <w:rsid w:val="004749B4"/>
    <w:rsid w:val="00494130"/>
    <w:rsid w:val="004F3523"/>
    <w:rsid w:val="0057476D"/>
    <w:rsid w:val="005973B9"/>
    <w:rsid w:val="005B3A56"/>
    <w:rsid w:val="006060CE"/>
    <w:rsid w:val="0063497F"/>
    <w:rsid w:val="006A52DA"/>
    <w:rsid w:val="00873DF0"/>
    <w:rsid w:val="008756E6"/>
    <w:rsid w:val="009447E1"/>
    <w:rsid w:val="009B2D44"/>
    <w:rsid w:val="00A07E82"/>
    <w:rsid w:val="00A9710C"/>
    <w:rsid w:val="00AE3E37"/>
    <w:rsid w:val="00B21A57"/>
    <w:rsid w:val="00B55373"/>
    <w:rsid w:val="00C33602"/>
    <w:rsid w:val="00C673AE"/>
    <w:rsid w:val="00CD6F55"/>
    <w:rsid w:val="00DB7EB3"/>
    <w:rsid w:val="00DE3104"/>
    <w:rsid w:val="00E13725"/>
    <w:rsid w:val="00F41CD1"/>
    <w:rsid w:val="00F4248F"/>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6D6A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link w:val="Char0"/>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1"/>
    <w:uiPriority w:val="99"/>
    <w:unhideWhenUsed/>
    <w:rsid w:val="005B3A56"/>
    <w:pPr>
      <w:tabs>
        <w:tab w:val="center" w:pos="4513"/>
        <w:tab w:val="right" w:pos="9026"/>
      </w:tabs>
    </w:pPr>
  </w:style>
  <w:style w:type="character" w:customStyle="1" w:styleId="Char1">
    <w:name w:val="머리글 Char"/>
    <w:basedOn w:val="a0"/>
    <w:link w:val="a5"/>
    <w:uiPriority w:val="99"/>
    <w:rsid w:val="005B3A56"/>
    <w:rPr>
      <w:rFonts w:ascii="Tw Cen MT" w:eastAsia="Tw Cen MT" w:hAnsi="Tw Cen MT" w:cs="Tw Cen MT"/>
    </w:rPr>
  </w:style>
  <w:style w:type="paragraph" w:styleId="a6">
    <w:name w:val="footer"/>
    <w:basedOn w:val="a"/>
    <w:link w:val="Char2"/>
    <w:uiPriority w:val="99"/>
    <w:unhideWhenUsed/>
    <w:rsid w:val="005B3A56"/>
    <w:pPr>
      <w:tabs>
        <w:tab w:val="center" w:pos="4513"/>
        <w:tab w:val="right" w:pos="9026"/>
      </w:tabs>
    </w:pPr>
  </w:style>
  <w:style w:type="character" w:customStyle="1" w:styleId="Char2">
    <w:name w:val="바닥글 Char"/>
    <w:basedOn w:val="a0"/>
    <w:link w:val="a6"/>
    <w:uiPriority w:val="99"/>
    <w:rsid w:val="005B3A56"/>
    <w:rPr>
      <w:rFonts w:ascii="Tw Cen MT" w:eastAsia="Tw Cen MT" w:hAnsi="Tw Cen MT" w:cs="Tw Cen MT"/>
    </w:rPr>
  </w:style>
  <w:style w:type="paragraph" w:styleId="a7">
    <w:name w:val="Balloon Text"/>
    <w:basedOn w:val="a"/>
    <w:link w:val="Char3"/>
    <w:uiPriority w:val="99"/>
    <w:semiHidden/>
    <w:unhideWhenUsed/>
    <w:rsid w:val="004F3523"/>
    <w:rPr>
      <w:rFonts w:ascii="Tahoma" w:hAnsi="Tahoma" w:cs="Tahoma"/>
      <w:sz w:val="16"/>
      <w:szCs w:val="16"/>
    </w:rPr>
  </w:style>
  <w:style w:type="character" w:customStyle="1" w:styleId="Char3">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paragraph" w:customStyle="1" w:styleId="a9">
    <w:name w:val="바탕글"/>
    <w:basedOn w:val="a"/>
    <w:rsid w:val="00F41CD1"/>
    <w:pPr>
      <w:wordWrap w:val="0"/>
      <w:autoSpaceDE w:val="0"/>
      <w:autoSpaceDN w:val="0"/>
      <w:snapToGrid w:val="0"/>
      <w:spacing w:line="384" w:lineRule="auto"/>
      <w:jc w:val="both"/>
      <w:textAlignment w:val="baseline"/>
    </w:pPr>
    <w:rPr>
      <w:rFonts w:ascii="굴림" w:eastAsia="굴림" w:hAnsi="굴림" w:cs="굴림"/>
      <w:color w:val="000000"/>
      <w:sz w:val="20"/>
      <w:szCs w:val="20"/>
      <w:lang w:eastAsia="ko-KR"/>
    </w:rPr>
  </w:style>
  <w:style w:type="paragraph" w:customStyle="1" w:styleId="EndNoteBibliographyTitle">
    <w:name w:val="EndNote Bibliography Title"/>
    <w:basedOn w:val="a"/>
    <w:link w:val="EndNoteBibliographyTitleChar"/>
    <w:rsid w:val="00231EFE"/>
    <w:pPr>
      <w:jc w:val="center"/>
    </w:pPr>
    <w:rPr>
      <w:noProof/>
      <w:sz w:val="18"/>
    </w:rPr>
  </w:style>
  <w:style w:type="character" w:customStyle="1" w:styleId="Char0">
    <w:name w:val="목록 단락 Char"/>
    <w:basedOn w:val="a0"/>
    <w:link w:val="a4"/>
    <w:uiPriority w:val="1"/>
    <w:rsid w:val="00231EFE"/>
    <w:rPr>
      <w:rFonts w:ascii="Calibri" w:eastAsia="Calibri" w:hAnsi="Calibri" w:cs="Calibri"/>
    </w:rPr>
  </w:style>
  <w:style w:type="character" w:customStyle="1" w:styleId="EndNoteBibliographyTitleChar">
    <w:name w:val="EndNote Bibliography Title Char"/>
    <w:basedOn w:val="Char0"/>
    <w:link w:val="EndNoteBibliographyTitle"/>
    <w:rsid w:val="00231EFE"/>
    <w:rPr>
      <w:rFonts w:ascii="Tw Cen MT" w:eastAsia="Tw Cen MT" w:hAnsi="Tw Cen MT" w:cs="Tw Cen MT"/>
      <w:noProof/>
      <w:sz w:val="18"/>
    </w:rPr>
  </w:style>
  <w:style w:type="paragraph" w:customStyle="1" w:styleId="EndNoteBibliography">
    <w:name w:val="EndNote Bibliography"/>
    <w:basedOn w:val="a"/>
    <w:link w:val="EndNoteBibliographyChar"/>
    <w:rsid w:val="00231EFE"/>
    <w:rPr>
      <w:noProof/>
      <w:sz w:val="18"/>
    </w:rPr>
  </w:style>
  <w:style w:type="character" w:customStyle="1" w:styleId="EndNoteBibliographyChar">
    <w:name w:val="EndNote Bibliography Char"/>
    <w:basedOn w:val="Char0"/>
    <w:link w:val="EndNoteBibliography"/>
    <w:rsid w:val="00231EFE"/>
    <w:rPr>
      <w:rFonts w:ascii="Tw Cen MT" w:eastAsia="Tw Cen MT" w:hAnsi="Tw Cen MT" w:cs="Tw Cen MT"/>
      <w:noProof/>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link w:val="Char0"/>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1"/>
    <w:uiPriority w:val="99"/>
    <w:unhideWhenUsed/>
    <w:rsid w:val="005B3A56"/>
    <w:pPr>
      <w:tabs>
        <w:tab w:val="center" w:pos="4513"/>
        <w:tab w:val="right" w:pos="9026"/>
      </w:tabs>
    </w:pPr>
  </w:style>
  <w:style w:type="character" w:customStyle="1" w:styleId="Char1">
    <w:name w:val="머리글 Char"/>
    <w:basedOn w:val="a0"/>
    <w:link w:val="a5"/>
    <w:uiPriority w:val="99"/>
    <w:rsid w:val="005B3A56"/>
    <w:rPr>
      <w:rFonts w:ascii="Tw Cen MT" w:eastAsia="Tw Cen MT" w:hAnsi="Tw Cen MT" w:cs="Tw Cen MT"/>
    </w:rPr>
  </w:style>
  <w:style w:type="paragraph" w:styleId="a6">
    <w:name w:val="footer"/>
    <w:basedOn w:val="a"/>
    <w:link w:val="Char2"/>
    <w:uiPriority w:val="99"/>
    <w:unhideWhenUsed/>
    <w:rsid w:val="005B3A56"/>
    <w:pPr>
      <w:tabs>
        <w:tab w:val="center" w:pos="4513"/>
        <w:tab w:val="right" w:pos="9026"/>
      </w:tabs>
    </w:pPr>
  </w:style>
  <w:style w:type="character" w:customStyle="1" w:styleId="Char2">
    <w:name w:val="바닥글 Char"/>
    <w:basedOn w:val="a0"/>
    <w:link w:val="a6"/>
    <w:uiPriority w:val="99"/>
    <w:rsid w:val="005B3A56"/>
    <w:rPr>
      <w:rFonts w:ascii="Tw Cen MT" w:eastAsia="Tw Cen MT" w:hAnsi="Tw Cen MT" w:cs="Tw Cen MT"/>
    </w:rPr>
  </w:style>
  <w:style w:type="paragraph" w:styleId="a7">
    <w:name w:val="Balloon Text"/>
    <w:basedOn w:val="a"/>
    <w:link w:val="Char3"/>
    <w:uiPriority w:val="99"/>
    <w:semiHidden/>
    <w:unhideWhenUsed/>
    <w:rsid w:val="004F3523"/>
    <w:rPr>
      <w:rFonts w:ascii="Tahoma" w:hAnsi="Tahoma" w:cs="Tahoma"/>
      <w:sz w:val="16"/>
      <w:szCs w:val="16"/>
    </w:rPr>
  </w:style>
  <w:style w:type="character" w:customStyle="1" w:styleId="Char3">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paragraph" w:customStyle="1" w:styleId="a9">
    <w:name w:val="바탕글"/>
    <w:basedOn w:val="a"/>
    <w:rsid w:val="00F41CD1"/>
    <w:pPr>
      <w:wordWrap w:val="0"/>
      <w:autoSpaceDE w:val="0"/>
      <w:autoSpaceDN w:val="0"/>
      <w:snapToGrid w:val="0"/>
      <w:spacing w:line="384" w:lineRule="auto"/>
      <w:jc w:val="both"/>
      <w:textAlignment w:val="baseline"/>
    </w:pPr>
    <w:rPr>
      <w:rFonts w:ascii="굴림" w:eastAsia="굴림" w:hAnsi="굴림" w:cs="굴림"/>
      <w:color w:val="000000"/>
      <w:sz w:val="20"/>
      <w:szCs w:val="20"/>
      <w:lang w:eastAsia="ko-KR"/>
    </w:rPr>
  </w:style>
  <w:style w:type="paragraph" w:customStyle="1" w:styleId="EndNoteBibliographyTitle">
    <w:name w:val="EndNote Bibliography Title"/>
    <w:basedOn w:val="a"/>
    <w:link w:val="EndNoteBibliographyTitleChar"/>
    <w:rsid w:val="00231EFE"/>
    <w:pPr>
      <w:jc w:val="center"/>
    </w:pPr>
    <w:rPr>
      <w:noProof/>
      <w:sz w:val="18"/>
    </w:rPr>
  </w:style>
  <w:style w:type="character" w:customStyle="1" w:styleId="Char0">
    <w:name w:val="목록 단락 Char"/>
    <w:basedOn w:val="a0"/>
    <w:link w:val="a4"/>
    <w:uiPriority w:val="1"/>
    <w:rsid w:val="00231EFE"/>
    <w:rPr>
      <w:rFonts w:ascii="Calibri" w:eastAsia="Calibri" w:hAnsi="Calibri" w:cs="Calibri"/>
    </w:rPr>
  </w:style>
  <w:style w:type="character" w:customStyle="1" w:styleId="EndNoteBibliographyTitleChar">
    <w:name w:val="EndNote Bibliography Title Char"/>
    <w:basedOn w:val="Char0"/>
    <w:link w:val="EndNoteBibliographyTitle"/>
    <w:rsid w:val="00231EFE"/>
    <w:rPr>
      <w:rFonts w:ascii="Tw Cen MT" w:eastAsia="Tw Cen MT" w:hAnsi="Tw Cen MT" w:cs="Tw Cen MT"/>
      <w:noProof/>
      <w:sz w:val="18"/>
    </w:rPr>
  </w:style>
  <w:style w:type="paragraph" w:customStyle="1" w:styleId="EndNoteBibliography">
    <w:name w:val="EndNote Bibliography"/>
    <w:basedOn w:val="a"/>
    <w:link w:val="EndNoteBibliographyChar"/>
    <w:rsid w:val="00231EFE"/>
    <w:rPr>
      <w:noProof/>
      <w:sz w:val="18"/>
    </w:rPr>
  </w:style>
  <w:style w:type="character" w:customStyle="1" w:styleId="EndNoteBibliographyChar">
    <w:name w:val="EndNote Bibliography Char"/>
    <w:basedOn w:val="Char0"/>
    <w:link w:val="EndNoteBibliography"/>
    <w:rsid w:val="00231EFE"/>
    <w:rPr>
      <w:rFonts w:ascii="Tw Cen MT" w:eastAsia="Tw Cen MT" w:hAnsi="Tw Cen MT" w:cs="Tw Cen MT"/>
      <w:noProof/>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pink88101@g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510</Words>
  <Characters>2911</Characters>
  <Application>Microsoft Office Word</Application>
  <DocSecurity>0</DocSecurity>
  <Lines>24</Lines>
  <Paragraphs>6</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cp:lastModifiedBy>
  <cp:revision>6</cp:revision>
  <cp:lastPrinted>2017-02-16T00:41:00Z</cp:lastPrinted>
  <dcterms:created xsi:type="dcterms:W3CDTF">2017-02-20T00:12:00Z</dcterms:created>
  <dcterms:modified xsi:type="dcterms:W3CDTF">2017-02-20T00:52:00Z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