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3D0D" w:rsidRDefault="00B03D0D" w:rsidP="00B03D0D">
      <w:pPr>
        <w:pStyle w:val="Heading1"/>
        <w:spacing w:before="170"/>
        <w:ind w:left="0"/>
        <w:rPr>
          <w:color w:val="337AB7"/>
        </w:rPr>
      </w:pPr>
      <w:r>
        <w:rPr>
          <w:color w:val="337AB7"/>
        </w:rPr>
        <w:t>Acupuncture complementing western medicine in in-patient setting-</w:t>
      </w:r>
    </w:p>
    <w:p w:rsidR="00B03D0D" w:rsidRDefault="00B03D0D" w:rsidP="00B03D0D">
      <w:pPr>
        <w:pStyle w:val="Heading1"/>
        <w:spacing w:before="170"/>
        <w:ind w:left="0"/>
      </w:pPr>
      <w:proofErr w:type="gramStart"/>
      <w:r>
        <w:rPr>
          <w:color w:val="337AB7"/>
        </w:rPr>
        <w:t>a</w:t>
      </w:r>
      <w:proofErr w:type="gramEnd"/>
      <w:r>
        <w:rPr>
          <w:color w:val="337AB7"/>
        </w:rPr>
        <w:t xml:space="preserve"> case series from Singapore</w:t>
      </w:r>
    </w:p>
    <w:p w:rsidR="00B03D0D" w:rsidRDefault="00B03D0D" w:rsidP="00B03D0D">
      <w:pPr>
        <w:pStyle w:val="BodyText"/>
        <w:spacing w:before="73" w:line="198" w:lineRule="exact"/>
        <w:ind w:right="5987"/>
        <w:rPr>
          <w:rFonts w:ascii="Arial"/>
        </w:rPr>
      </w:pPr>
      <w:r>
        <w:rPr>
          <w:rFonts w:ascii="Arial"/>
        </w:rPr>
        <w:t>Richard Tan Tiong Heng, MBBS, Grad Dip Acupuncture, Grad Dip Occupational Medicine, Singapore</w:t>
      </w:r>
    </w:p>
    <w:p w:rsidR="00B03D0D" w:rsidRDefault="00B03D0D" w:rsidP="00B03D0D">
      <w:pPr>
        <w:pStyle w:val="BodyText"/>
        <w:spacing w:before="73" w:line="198" w:lineRule="exact"/>
        <w:ind w:right="5987"/>
        <w:rPr>
          <w:rFonts w:ascii="Arial"/>
        </w:rPr>
      </w:pPr>
      <w:r>
        <w:rPr>
          <w:rFonts w:ascii="Arial"/>
        </w:rPr>
        <w:t xml:space="preserve">Soh Ling </w:t>
      </w:r>
      <w:proofErr w:type="spellStart"/>
      <w:r>
        <w:rPr>
          <w:rFonts w:ascii="Arial"/>
        </w:rPr>
        <w:t>Ling</w:t>
      </w:r>
      <w:proofErr w:type="spellEnd"/>
      <w:r>
        <w:rPr>
          <w:rFonts w:ascii="Arial"/>
        </w:rPr>
        <w:t xml:space="preserve">, MBBS, Grad Dip Acupuncture, </w:t>
      </w:r>
      <w:proofErr w:type="spellStart"/>
      <w:r>
        <w:rPr>
          <w:rFonts w:ascii="Arial"/>
        </w:rPr>
        <w:t>MMed</w:t>
      </w:r>
      <w:proofErr w:type="spellEnd"/>
      <w:r>
        <w:rPr>
          <w:rFonts w:ascii="Arial"/>
        </w:rPr>
        <w:t xml:space="preserve"> (</w:t>
      </w:r>
      <w:proofErr w:type="spellStart"/>
      <w:proofErr w:type="gramStart"/>
      <w:r>
        <w:rPr>
          <w:rFonts w:ascii="Arial"/>
        </w:rPr>
        <w:t>Fam</w:t>
      </w:r>
      <w:proofErr w:type="spellEnd"/>
      <w:proofErr w:type="gramEnd"/>
      <w:r>
        <w:rPr>
          <w:rFonts w:ascii="Arial"/>
        </w:rPr>
        <w:t xml:space="preserve"> Med), Singapore</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B03D0D" w:rsidRPr="00ED0C82" w:rsidRDefault="00B03D0D" w:rsidP="00B03D0D">
      <w:pPr>
        <w:spacing w:before="90" w:line="280" w:lineRule="auto"/>
        <w:ind w:left="100"/>
        <w:jc w:val="both"/>
        <w:rPr>
          <w:sz w:val="18"/>
        </w:rPr>
      </w:pPr>
      <w:r w:rsidRPr="00ED0C82">
        <w:rPr>
          <w:b/>
          <w:sz w:val="18"/>
        </w:rPr>
        <w:t>Statement of the Problem</w:t>
      </w:r>
      <w:r w:rsidRPr="00ED0C82">
        <w:rPr>
          <w:sz w:val="18"/>
        </w:rPr>
        <w:t>: Patients who require longer stay following an acute stroke or fractures that are treated conservatively, are generally transferred to a step-down care institution for further r</w:t>
      </w:r>
      <w:r w:rsidR="00106224">
        <w:rPr>
          <w:sz w:val="18"/>
        </w:rPr>
        <w:t xml:space="preserve">ehabilitation. Studies </w:t>
      </w:r>
      <w:r w:rsidRPr="00ED0C82">
        <w:rPr>
          <w:sz w:val="18"/>
        </w:rPr>
        <w:t>done with regards to cognitive or affective impairments predict rehabilitation participation among patients admitted to inpatient rehabilitation; especially those with stroke or chronic pain</w:t>
      </w:r>
      <w:r w:rsidR="00106224">
        <w:rPr>
          <w:sz w:val="18"/>
        </w:rPr>
        <w:t>, to</w:t>
      </w:r>
      <w:r w:rsidRPr="00ED0C82">
        <w:rPr>
          <w:sz w:val="18"/>
        </w:rPr>
        <w:t xml:space="preserve"> have reactive depression</w:t>
      </w:r>
      <w:r w:rsidR="00106224">
        <w:rPr>
          <w:sz w:val="18"/>
        </w:rPr>
        <w:t>,</w:t>
      </w:r>
      <w:r w:rsidRPr="00ED0C82">
        <w:rPr>
          <w:sz w:val="18"/>
        </w:rPr>
        <w:t xml:space="preserve"> which affects rehabilitation participation. In our institution, patients were offered acupuncture for stroke or chronic pain. The purpose of this study is to describe the potential positive effect of providing acupuncture as complementing conventional treatment for patients with either stroke </w:t>
      </w:r>
      <w:r w:rsidR="00106224">
        <w:rPr>
          <w:sz w:val="18"/>
        </w:rPr>
        <w:t xml:space="preserve">or </w:t>
      </w:r>
      <w:r w:rsidRPr="00ED0C82">
        <w:rPr>
          <w:sz w:val="18"/>
        </w:rPr>
        <w:t xml:space="preserve">chronic pain while in they are receiving treatment inpatient or outpatient. </w:t>
      </w:r>
      <w:r w:rsidRPr="00ED0C82">
        <w:rPr>
          <w:b/>
          <w:sz w:val="18"/>
        </w:rPr>
        <w:t>Meth</w:t>
      </w:r>
      <w:r w:rsidR="00106224">
        <w:rPr>
          <w:b/>
          <w:sz w:val="18"/>
        </w:rPr>
        <w:t>odolog</w:t>
      </w:r>
      <w:r w:rsidR="001849E4">
        <w:rPr>
          <w:b/>
          <w:sz w:val="18"/>
        </w:rPr>
        <w:t>y</w:t>
      </w:r>
      <w:r w:rsidR="001849E4">
        <w:rPr>
          <w:sz w:val="18"/>
        </w:rPr>
        <w:t>: All</w:t>
      </w:r>
      <w:r w:rsidRPr="00ED0C82">
        <w:rPr>
          <w:sz w:val="18"/>
        </w:rPr>
        <w:t xml:space="preserve"> patients were assessed weekly at Multidisciplinary meetings involving physicians, nurses, occupational therapists, physiotherapists and other allied health professionals with regards to their rehabilitation potential using Functional Independence Measu</w:t>
      </w:r>
      <w:r w:rsidR="00106224">
        <w:rPr>
          <w:sz w:val="18"/>
        </w:rPr>
        <w:t>rement (FIM) Score and</w:t>
      </w:r>
      <w:r w:rsidRPr="00ED0C82">
        <w:rPr>
          <w:sz w:val="18"/>
        </w:rPr>
        <w:t xml:space="preserve"> length of stay (LOS).</w:t>
      </w:r>
      <w:r w:rsidRPr="00ED0C82">
        <w:rPr>
          <w:b/>
          <w:sz w:val="18"/>
        </w:rPr>
        <w:t xml:space="preserve"> Findings</w:t>
      </w:r>
      <w:r w:rsidRPr="00ED0C82">
        <w:rPr>
          <w:sz w:val="18"/>
        </w:rPr>
        <w:t xml:space="preserve">: </w:t>
      </w:r>
      <w:r w:rsidR="001849E4">
        <w:rPr>
          <w:sz w:val="18"/>
        </w:rPr>
        <w:t>3 p</w:t>
      </w:r>
      <w:r w:rsidRPr="00ED0C82">
        <w:rPr>
          <w:sz w:val="18"/>
        </w:rPr>
        <w:t>atients enrolled in this</w:t>
      </w:r>
      <w:r w:rsidR="001849E4">
        <w:rPr>
          <w:sz w:val="18"/>
        </w:rPr>
        <w:t xml:space="preserve"> study were found to have</w:t>
      </w:r>
      <w:r w:rsidRPr="00ED0C82">
        <w:rPr>
          <w:sz w:val="18"/>
        </w:rPr>
        <w:t xml:space="preserve"> improved FIM score for both stroke as well as for chronic pain patients within a shorter period of time. Though LOS did not see significant impr</w:t>
      </w:r>
      <w:r w:rsidR="00106224">
        <w:rPr>
          <w:sz w:val="18"/>
        </w:rPr>
        <w:t xml:space="preserve">ovement for these patients, the </w:t>
      </w:r>
      <w:r w:rsidRPr="00ED0C82">
        <w:rPr>
          <w:sz w:val="18"/>
        </w:rPr>
        <w:t>reason was mainly awaiting arr</w:t>
      </w:r>
      <w:r w:rsidR="00106224">
        <w:rPr>
          <w:sz w:val="18"/>
        </w:rPr>
        <w:t>ival and training of</w:t>
      </w:r>
      <w:r w:rsidRPr="00ED0C82">
        <w:rPr>
          <w:sz w:val="18"/>
        </w:rPr>
        <w:t xml:space="preserve"> care-giver, as these </w:t>
      </w:r>
      <w:r w:rsidR="00106224">
        <w:rPr>
          <w:sz w:val="18"/>
        </w:rPr>
        <w:t xml:space="preserve">patients still require </w:t>
      </w:r>
      <w:r w:rsidRPr="00ED0C82">
        <w:rPr>
          <w:sz w:val="18"/>
        </w:rPr>
        <w:t xml:space="preserve">assistance upon discharge. </w:t>
      </w:r>
      <w:r w:rsidRPr="00ED0C82">
        <w:rPr>
          <w:b/>
          <w:sz w:val="18"/>
        </w:rPr>
        <w:t>Conclusion &amp; Significance</w:t>
      </w:r>
      <w:r w:rsidRPr="00ED0C82">
        <w:rPr>
          <w:sz w:val="18"/>
        </w:rPr>
        <w:t>: Patients who hold positive attitude towards acupuncture and were willing to give it a try, tend to be more optimistic and participatory to physiotherapy. This study showed significant improvement of FIM score and potentially shorter i</w:t>
      </w:r>
      <w:r w:rsidR="00106224">
        <w:rPr>
          <w:sz w:val="18"/>
        </w:rPr>
        <w:t>n-patient LOS, resulting</w:t>
      </w:r>
      <w:r w:rsidRPr="00ED0C82">
        <w:rPr>
          <w:sz w:val="18"/>
        </w:rPr>
        <w:t xml:space="preserve"> </w:t>
      </w:r>
      <w:r w:rsidR="00106224">
        <w:rPr>
          <w:sz w:val="18"/>
        </w:rPr>
        <w:t xml:space="preserve">in </w:t>
      </w:r>
      <w:r w:rsidRPr="00ED0C82">
        <w:rPr>
          <w:sz w:val="18"/>
        </w:rPr>
        <w:t>reduced medical cos</w:t>
      </w:r>
      <w:r w:rsidR="00106224">
        <w:rPr>
          <w:sz w:val="18"/>
        </w:rPr>
        <w:t>t, hospital bed occupancy</w:t>
      </w:r>
      <w:r w:rsidRPr="00ED0C82">
        <w:rPr>
          <w:sz w:val="18"/>
        </w:rPr>
        <w:t xml:space="preserve"> and care-givers stress. </w:t>
      </w:r>
      <w:r w:rsidR="00106224">
        <w:rPr>
          <w:sz w:val="18"/>
        </w:rPr>
        <w:t>Strongly r</w:t>
      </w:r>
      <w:r w:rsidRPr="00ED0C82">
        <w:rPr>
          <w:sz w:val="18"/>
        </w:rPr>
        <w:t>ecom</w:t>
      </w:r>
      <w:r w:rsidR="00106224">
        <w:rPr>
          <w:sz w:val="18"/>
        </w:rPr>
        <w:t>mend that healthcare institutions</w:t>
      </w:r>
      <w:r w:rsidRPr="00ED0C82">
        <w:rPr>
          <w:sz w:val="18"/>
        </w:rPr>
        <w:t xml:space="preserve"> recognize this synergy and modality of care, and introduce similar programs in their institutions to treat patient holistically, utilizing both weste</w:t>
      </w:r>
      <w:r>
        <w:rPr>
          <w:sz w:val="18"/>
        </w:rPr>
        <w:t>rn medicine complemented by ac</w:t>
      </w:r>
      <w:r w:rsidRPr="00ED0C82">
        <w:rPr>
          <w:sz w:val="18"/>
        </w:rPr>
        <w:t>upuncture all within the same team of doctors and therapists.</w:t>
      </w:r>
      <w:r w:rsidR="00106224">
        <w:rPr>
          <w:sz w:val="18"/>
        </w:rPr>
        <w:t xml:space="preserve"> </w:t>
      </w:r>
      <w:r w:rsidRPr="00ED0C82">
        <w:rPr>
          <w:sz w:val="18"/>
        </w:rPr>
        <w:t>(Fig 1)</w:t>
      </w:r>
    </w:p>
    <w:p w:rsidR="00AE3E37" w:rsidRPr="00106224" w:rsidRDefault="00A9710C">
      <w:pPr>
        <w:pStyle w:val="Heading3"/>
        <w:spacing w:before="74"/>
      </w:pPr>
      <w:r>
        <w:rPr>
          <w:b w:val="0"/>
        </w:rPr>
        <w:br w:type="column"/>
      </w:r>
      <w:r w:rsidR="00106224" w:rsidRPr="00106224">
        <w:rPr>
          <w:color w:val="C45911" w:themeColor="accent2" w:themeShade="BF"/>
        </w:rPr>
        <w:lastRenderedPageBreak/>
        <w:t xml:space="preserve">Fig 1. </w:t>
      </w:r>
      <w:r w:rsidR="00B03D0D" w:rsidRPr="00106224">
        <w:rPr>
          <w:color w:val="C45911" w:themeColor="accent2" w:themeShade="BF"/>
        </w:rPr>
        <w:t>Holistic Patient-centric care</w:t>
      </w:r>
    </w:p>
    <w:p w:rsidR="00AE3E37" w:rsidRDefault="005C002C">
      <w:pPr>
        <w:pStyle w:val="BodyText"/>
        <w:spacing w:before="2"/>
        <w:rPr>
          <w:rFonts w:ascii="Arial"/>
          <w:b/>
          <w:sz w:val="16"/>
        </w:rPr>
      </w:pPr>
      <w:r w:rsidRPr="0023537A">
        <w:rPr>
          <w:noProof/>
          <w:lang w:eastAsia="zh-CN"/>
        </w:rPr>
        <w:drawing>
          <wp:inline distT="0" distB="0" distL="0" distR="0">
            <wp:extent cx="3165475" cy="17849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784985"/>
                    </a:xfrm>
                    <a:prstGeom prst="rect">
                      <a:avLst/>
                    </a:prstGeom>
                    <a:noFill/>
                    <a:ln>
                      <a:noFill/>
                    </a:ln>
                  </pic:spPr>
                </pic:pic>
              </a:graphicData>
            </a:graphic>
          </wp:inline>
        </w:drawing>
      </w:r>
    </w:p>
    <w:p w:rsidR="005973B9" w:rsidRDefault="00B03D0D" w:rsidP="005973B9">
      <w:pPr>
        <w:spacing w:line="204" w:lineRule="exact"/>
        <w:rPr>
          <w:rFonts w:ascii="Arial"/>
          <w:b/>
          <w:sz w:val="20"/>
        </w:rPr>
      </w:pPr>
      <w:r>
        <w:rPr>
          <w:rFonts w:ascii="Arial"/>
          <w:b/>
          <w:color w:val="BF5A14"/>
          <w:sz w:val="20"/>
        </w:rPr>
        <w:br/>
        <w:t>Recent Publications</w:t>
      </w:r>
    </w:p>
    <w:p w:rsidR="00B03D0D" w:rsidRDefault="00B03D0D" w:rsidP="00B03D0D">
      <w:pPr>
        <w:pStyle w:val="ListParagraph"/>
        <w:numPr>
          <w:ilvl w:val="0"/>
          <w:numId w:val="3"/>
        </w:numPr>
        <w:tabs>
          <w:tab w:val="left" w:pos="384"/>
        </w:tabs>
        <w:spacing w:line="216" w:lineRule="exact"/>
        <w:ind w:right="137"/>
        <w:rPr>
          <w:sz w:val="18"/>
        </w:rPr>
      </w:pPr>
      <w:r w:rsidRPr="005D550B">
        <w:rPr>
          <w:sz w:val="18"/>
        </w:rPr>
        <w:t xml:space="preserve">Skidmore ER, Whyte EM, Holm MB, Becker JT, Butters MA, Dew MA, </w:t>
      </w:r>
      <w:proofErr w:type="spellStart"/>
      <w:r w:rsidRPr="005D550B">
        <w:rPr>
          <w:sz w:val="18"/>
        </w:rPr>
        <w:t>Munin</w:t>
      </w:r>
      <w:proofErr w:type="spellEnd"/>
      <w:r w:rsidRPr="005D550B">
        <w:rPr>
          <w:sz w:val="18"/>
        </w:rPr>
        <w:t xml:space="preserve"> MC, </w:t>
      </w:r>
      <w:proofErr w:type="spellStart"/>
      <w:r w:rsidRPr="005D550B">
        <w:rPr>
          <w:sz w:val="18"/>
        </w:rPr>
        <w:t>Lenze</w:t>
      </w:r>
      <w:proofErr w:type="spellEnd"/>
      <w:r w:rsidRPr="005D550B">
        <w:rPr>
          <w:sz w:val="18"/>
        </w:rPr>
        <w:t xml:space="preserve"> EJ. Cognitive and affective predictors of rehabilitation participation after</w:t>
      </w:r>
      <w:r>
        <w:rPr>
          <w:sz w:val="18"/>
        </w:rPr>
        <w:t xml:space="preserve"> </w:t>
      </w:r>
      <w:r w:rsidRPr="005D550B">
        <w:rPr>
          <w:sz w:val="18"/>
        </w:rPr>
        <w:t xml:space="preserve">stroke. Arch </w:t>
      </w:r>
      <w:proofErr w:type="spellStart"/>
      <w:r w:rsidRPr="005D550B">
        <w:rPr>
          <w:sz w:val="18"/>
        </w:rPr>
        <w:t>Phys</w:t>
      </w:r>
      <w:proofErr w:type="spellEnd"/>
      <w:r w:rsidRPr="005D550B">
        <w:rPr>
          <w:sz w:val="18"/>
        </w:rPr>
        <w:t xml:space="preserve"> Med </w:t>
      </w:r>
      <w:proofErr w:type="spellStart"/>
      <w:r w:rsidRPr="005D550B">
        <w:rPr>
          <w:sz w:val="18"/>
        </w:rPr>
        <w:t>Rehabil</w:t>
      </w:r>
      <w:proofErr w:type="spellEnd"/>
      <w:r w:rsidRPr="005D550B">
        <w:rPr>
          <w:sz w:val="18"/>
        </w:rPr>
        <w:t xml:space="preserve"> 2010;</w:t>
      </w:r>
      <w:r>
        <w:rPr>
          <w:sz w:val="18"/>
        </w:rPr>
        <w:t xml:space="preserve"> </w:t>
      </w:r>
      <w:r w:rsidRPr="005D550B">
        <w:rPr>
          <w:sz w:val="18"/>
        </w:rPr>
        <w:t>91:203-7.</w:t>
      </w:r>
    </w:p>
    <w:p w:rsidR="00B03D0D" w:rsidRPr="0088763E" w:rsidRDefault="00B03D0D" w:rsidP="00B03D0D">
      <w:pPr>
        <w:pStyle w:val="ListParagraph"/>
        <w:numPr>
          <w:ilvl w:val="0"/>
          <w:numId w:val="3"/>
        </w:numPr>
        <w:tabs>
          <w:tab w:val="left" w:pos="384"/>
        </w:tabs>
        <w:spacing w:line="216" w:lineRule="exact"/>
        <w:ind w:right="137"/>
        <w:rPr>
          <w:sz w:val="18"/>
        </w:rPr>
      </w:pPr>
      <w:proofErr w:type="spellStart"/>
      <w:r w:rsidRPr="0088763E">
        <w:rPr>
          <w:sz w:val="18"/>
        </w:rPr>
        <w:t>Saxena</w:t>
      </w:r>
      <w:proofErr w:type="spellEnd"/>
      <w:r w:rsidRPr="0088763E">
        <w:rPr>
          <w:sz w:val="18"/>
        </w:rPr>
        <w:t xml:space="preserve"> S K, Koh G C H, Ng T P, Fong N P, Yong D. Determinants of length of stay during post-stroke rehabilitation in</w:t>
      </w:r>
      <w:r>
        <w:rPr>
          <w:sz w:val="18"/>
        </w:rPr>
        <w:t xml:space="preserve"> </w:t>
      </w:r>
      <w:r w:rsidRPr="0088763E">
        <w:rPr>
          <w:sz w:val="18"/>
        </w:rPr>
        <w:t>community hospitals</w:t>
      </w:r>
      <w:r>
        <w:rPr>
          <w:sz w:val="18"/>
        </w:rPr>
        <w:t xml:space="preserve">. </w:t>
      </w:r>
      <w:r w:rsidRPr="0088763E">
        <w:rPr>
          <w:sz w:val="18"/>
        </w:rPr>
        <w:t>Singapore Med J 2007; 48(5):400–407</w:t>
      </w:r>
    </w:p>
    <w:p w:rsidR="00B03D0D" w:rsidRPr="0088763E" w:rsidRDefault="00B03D0D" w:rsidP="00B03D0D">
      <w:pPr>
        <w:pStyle w:val="ListParagraph"/>
        <w:numPr>
          <w:ilvl w:val="0"/>
          <w:numId w:val="3"/>
        </w:numPr>
        <w:tabs>
          <w:tab w:val="left" w:pos="384"/>
        </w:tabs>
        <w:spacing w:before="92" w:line="218" w:lineRule="exact"/>
        <w:rPr>
          <w:sz w:val="18"/>
        </w:rPr>
      </w:pPr>
      <w:proofErr w:type="spellStart"/>
      <w:r w:rsidRPr="0088763E">
        <w:rPr>
          <w:sz w:val="18"/>
        </w:rPr>
        <w:t>Myeong</w:t>
      </w:r>
      <w:proofErr w:type="spellEnd"/>
      <w:r w:rsidRPr="0088763E">
        <w:rPr>
          <w:sz w:val="18"/>
        </w:rPr>
        <w:t xml:space="preserve"> Soo Lee, Tae-Young Choi, </w:t>
      </w:r>
      <w:proofErr w:type="spellStart"/>
      <w:r w:rsidRPr="0088763E">
        <w:rPr>
          <w:sz w:val="18"/>
        </w:rPr>
        <w:t>Edzard</w:t>
      </w:r>
      <w:proofErr w:type="spellEnd"/>
      <w:r w:rsidRPr="0088763E">
        <w:rPr>
          <w:sz w:val="18"/>
        </w:rPr>
        <w:t xml:space="preserve"> Ernst. Acupuncture for stroke rehabilitation: an overview of systematic</w:t>
      </w:r>
      <w:r>
        <w:rPr>
          <w:sz w:val="18"/>
        </w:rPr>
        <w:t xml:space="preserve"> </w:t>
      </w:r>
      <w:r w:rsidRPr="0088763E">
        <w:rPr>
          <w:sz w:val="18"/>
        </w:rPr>
        <w:t>reviews. PROSPERO 2013:CRD42013004849</w:t>
      </w:r>
      <w:r w:rsidRPr="0088763E">
        <w:t xml:space="preserve"> </w:t>
      </w:r>
    </w:p>
    <w:p w:rsidR="00B03D0D" w:rsidRDefault="00B03D0D" w:rsidP="00B03D0D">
      <w:pPr>
        <w:pStyle w:val="ListParagraph"/>
        <w:numPr>
          <w:ilvl w:val="0"/>
          <w:numId w:val="3"/>
        </w:numPr>
        <w:tabs>
          <w:tab w:val="left" w:pos="384"/>
        </w:tabs>
        <w:spacing w:before="92" w:line="218" w:lineRule="exact"/>
      </w:pPr>
      <w:r w:rsidRPr="0088763E">
        <w:rPr>
          <w:sz w:val="18"/>
        </w:rPr>
        <w:t>Yang A, Wu HM, Tang JL, Xu L, Yang M, Liu GJ. Acupuncture for stroke rehabilitation. Cochrane Database of Systematic</w:t>
      </w:r>
      <w:r>
        <w:rPr>
          <w:sz w:val="18"/>
        </w:rPr>
        <w:t xml:space="preserve"> </w:t>
      </w:r>
      <w:r w:rsidRPr="0088763E">
        <w:rPr>
          <w:sz w:val="18"/>
        </w:rPr>
        <w:t>Reviews 2016, Issue 8. Art. No.: CD004131. DOI: 10.1002/14651858.CD004131.pub3.</w:t>
      </w:r>
      <w:r w:rsidRPr="0088763E">
        <w:t xml:space="preserve"> </w:t>
      </w:r>
    </w:p>
    <w:p w:rsidR="00B03D0D" w:rsidRPr="00E33BDC" w:rsidRDefault="00B03D0D" w:rsidP="00B03D0D">
      <w:pPr>
        <w:pStyle w:val="ListParagraph"/>
        <w:numPr>
          <w:ilvl w:val="0"/>
          <w:numId w:val="3"/>
        </w:numPr>
        <w:tabs>
          <w:tab w:val="left" w:pos="384"/>
        </w:tabs>
        <w:spacing w:before="92" w:line="218" w:lineRule="exact"/>
        <w:rPr>
          <w:sz w:val="18"/>
          <w:szCs w:val="18"/>
        </w:rPr>
      </w:pPr>
      <w:r w:rsidRPr="00E33BDC">
        <w:rPr>
          <w:sz w:val="18"/>
          <w:szCs w:val="18"/>
        </w:rPr>
        <w:t xml:space="preserve">Su-Yin Yang, Keng He Kong. Level and predictors of participation in patients with stroke undergoing inpatient rehabilitation. Singapore </w:t>
      </w:r>
      <w:bookmarkStart w:id="0" w:name="_GoBack"/>
      <w:bookmarkEnd w:id="0"/>
      <w:r w:rsidRPr="00E33BDC">
        <w:rPr>
          <w:sz w:val="18"/>
          <w:szCs w:val="18"/>
        </w:rPr>
        <w:t>Med J 2013; 54(10): 564-568 doi:10.11622/smedj.2013201</w:t>
      </w:r>
    </w:p>
    <w:p w:rsidR="00B03D0D" w:rsidRPr="00E33BDC" w:rsidRDefault="00B03D0D" w:rsidP="00B03D0D">
      <w:pPr>
        <w:pStyle w:val="ListParagraph"/>
        <w:numPr>
          <w:ilvl w:val="0"/>
          <w:numId w:val="3"/>
        </w:numPr>
        <w:tabs>
          <w:tab w:val="left" w:pos="384"/>
        </w:tabs>
        <w:spacing w:before="92" w:line="218" w:lineRule="exact"/>
        <w:rPr>
          <w:sz w:val="18"/>
          <w:szCs w:val="18"/>
        </w:rPr>
      </w:pPr>
      <w:r w:rsidRPr="00E33BDC">
        <w:rPr>
          <w:sz w:val="18"/>
          <w:szCs w:val="18"/>
        </w:rPr>
        <w:t xml:space="preserve">Tobias </w:t>
      </w:r>
      <w:proofErr w:type="spellStart"/>
      <w:r w:rsidRPr="00E33BDC">
        <w:rPr>
          <w:sz w:val="18"/>
          <w:szCs w:val="18"/>
        </w:rPr>
        <w:t>Romeyke</w:t>
      </w:r>
      <w:proofErr w:type="spellEnd"/>
      <w:r w:rsidRPr="00E33BDC">
        <w:rPr>
          <w:sz w:val="18"/>
          <w:szCs w:val="18"/>
        </w:rPr>
        <w:t xml:space="preserve">, </w:t>
      </w:r>
      <w:r>
        <w:rPr>
          <w:sz w:val="18"/>
          <w:szCs w:val="18"/>
        </w:rPr>
        <w:t xml:space="preserve">Hans </w:t>
      </w:r>
      <w:proofErr w:type="spellStart"/>
      <w:r>
        <w:rPr>
          <w:sz w:val="18"/>
          <w:szCs w:val="18"/>
        </w:rPr>
        <w:t>Christoph</w:t>
      </w:r>
      <w:proofErr w:type="spellEnd"/>
      <w:r>
        <w:rPr>
          <w:sz w:val="18"/>
          <w:szCs w:val="18"/>
        </w:rPr>
        <w:t xml:space="preserve"> </w:t>
      </w:r>
      <w:proofErr w:type="spellStart"/>
      <w:r>
        <w:rPr>
          <w:sz w:val="18"/>
          <w:szCs w:val="18"/>
        </w:rPr>
        <w:t>Scheuer</w:t>
      </w:r>
      <w:proofErr w:type="spellEnd"/>
      <w:r>
        <w:rPr>
          <w:sz w:val="18"/>
          <w:szCs w:val="18"/>
        </w:rPr>
        <w:t>,</w:t>
      </w:r>
      <w:r w:rsidRPr="00E33BDC">
        <w:rPr>
          <w:sz w:val="18"/>
          <w:szCs w:val="18"/>
        </w:rPr>
        <w:t xml:space="preserve"> </w:t>
      </w:r>
      <w:proofErr w:type="spellStart"/>
      <w:r w:rsidRPr="00E33BDC">
        <w:rPr>
          <w:sz w:val="18"/>
          <w:szCs w:val="18"/>
        </w:rPr>
        <w:t>Harald</w:t>
      </w:r>
      <w:proofErr w:type="spellEnd"/>
      <w:r w:rsidRPr="00E33BDC">
        <w:rPr>
          <w:sz w:val="18"/>
          <w:szCs w:val="18"/>
        </w:rPr>
        <w:t xml:space="preserve"> </w:t>
      </w:r>
      <w:proofErr w:type="spellStart"/>
      <w:r w:rsidRPr="00E33BDC">
        <w:rPr>
          <w:sz w:val="18"/>
          <w:szCs w:val="18"/>
        </w:rPr>
        <w:t>Stummer</w:t>
      </w:r>
      <w:proofErr w:type="spellEnd"/>
      <w:r w:rsidRPr="00E33BDC">
        <w:rPr>
          <w:sz w:val="18"/>
          <w:szCs w:val="18"/>
        </w:rPr>
        <w:t>. Inpatient hospital costs and length of stay for the treatment of affective and somatoform disorders – evidence from Germany</w:t>
      </w:r>
      <w:r>
        <w:rPr>
          <w:sz w:val="18"/>
          <w:szCs w:val="18"/>
        </w:rPr>
        <w:t xml:space="preserve">. </w:t>
      </w:r>
      <w:r w:rsidRPr="00E33BDC">
        <w:rPr>
          <w:sz w:val="18"/>
          <w:szCs w:val="18"/>
        </w:rPr>
        <w:t>Risk Manag</w:t>
      </w:r>
      <w:r>
        <w:rPr>
          <w:sz w:val="18"/>
          <w:szCs w:val="18"/>
        </w:rPr>
        <w:t>ement and</w:t>
      </w:r>
      <w:r w:rsidRPr="00E33BDC">
        <w:rPr>
          <w:sz w:val="18"/>
          <w:szCs w:val="18"/>
        </w:rPr>
        <w:t xml:space="preserve"> Healthc</w:t>
      </w:r>
      <w:r>
        <w:rPr>
          <w:sz w:val="18"/>
          <w:szCs w:val="18"/>
        </w:rPr>
        <w:t>are</w:t>
      </w:r>
      <w:r w:rsidRPr="00E33BDC">
        <w:rPr>
          <w:sz w:val="18"/>
          <w:szCs w:val="18"/>
        </w:rPr>
        <w:t xml:space="preserve"> Policy. 2014; 7: 245–252.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5C002C">
      <w:pPr>
        <w:pStyle w:val="BodyText"/>
        <w:spacing w:line="40" w:lineRule="exact"/>
        <w:ind w:left="2202"/>
        <w:rPr>
          <w:rFonts w:ascii="Calibri"/>
          <w:sz w:val="4"/>
        </w:rPr>
      </w:pPr>
      <w:r>
        <w:rPr>
          <w:noProof/>
          <w:lang w:eastAsia="zh-CN"/>
        </w:rPr>
        <w:lastRenderedPageBreak/>
        <mc:AlternateContent>
          <mc:Choice Requires="wpg">
            <w:drawing>
              <wp:inline distT="0" distB="0" distL="0" distR="0">
                <wp:extent cx="3975735" cy="25400"/>
                <wp:effectExtent l="0" t="0" r="571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35B0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03D0D" w:rsidRDefault="008756E6" w:rsidP="00B03D0D">
      <w:pPr>
        <w:widowControl/>
        <w:spacing w:before="41"/>
        <w:ind w:left="213" w:right="231"/>
        <w:jc w:val="both"/>
        <w:rPr>
          <w:rFonts w:ascii="Arial" w:eastAsia="Arial" w:hAnsi="Arial" w:cs="Arial"/>
          <w:sz w:val="14"/>
          <w:lang w:eastAsia="zh-CN"/>
        </w:rPr>
      </w:pPr>
      <w:r>
        <w:rPr>
          <w:noProof/>
        </w:rPr>
        <w:t xml:space="preserve">   </w:t>
      </w:r>
      <w:r w:rsidR="005C002C" w:rsidRPr="00B03D0D">
        <w:rPr>
          <w:rFonts w:ascii="Arial" w:eastAsia="Times New Roman" w:hAnsi="Arial" w:cs="Arial"/>
          <w:noProof/>
          <w:sz w:val="2"/>
          <w:szCs w:val="2"/>
          <w:lang w:eastAsia="zh-CN"/>
        </w:rPr>
        <w:drawing>
          <wp:inline distT="0" distB="0" distL="0" distR="0">
            <wp:extent cx="544830" cy="624205"/>
            <wp:effectExtent l="0" t="0" r="7620" b="4445"/>
            <wp:docPr id="3" name="Picture 3" descr="RT_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T_Fo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830" cy="624205"/>
                    </a:xfrm>
                    <a:prstGeom prst="rect">
                      <a:avLst/>
                    </a:prstGeom>
                    <a:noFill/>
                    <a:ln>
                      <a:noFill/>
                    </a:ln>
                  </pic:spPr>
                </pic:pic>
              </a:graphicData>
            </a:graphic>
          </wp:inline>
        </w:drawing>
      </w:r>
      <w:r w:rsidR="00B03D0D" w:rsidRPr="00B03D0D">
        <w:rPr>
          <w:rFonts w:ascii="Arial" w:eastAsia="Arial" w:hAnsi="Arial" w:cs="Arial"/>
          <w:sz w:val="14"/>
          <w:lang w:eastAsia="zh-CN"/>
        </w:rPr>
        <w:t xml:space="preserve"> </w:t>
      </w:r>
      <w:r w:rsidR="00B03D0D">
        <w:rPr>
          <w:rFonts w:ascii="Arial"/>
          <w:color w:val="BF5A14"/>
        </w:rPr>
        <w:t>Biography</w:t>
      </w:r>
    </w:p>
    <w:p w:rsidR="00B03D0D" w:rsidRPr="00ED0C82" w:rsidRDefault="00B03D0D" w:rsidP="00B03D0D">
      <w:pPr>
        <w:widowControl/>
        <w:spacing w:before="41"/>
        <w:ind w:left="213" w:right="231"/>
        <w:jc w:val="both"/>
        <w:rPr>
          <w:rFonts w:ascii="Arial" w:eastAsia="Arial" w:hAnsi="Arial" w:cs="Arial"/>
          <w:sz w:val="14"/>
          <w:lang w:eastAsia="zh-CN"/>
        </w:rPr>
      </w:pPr>
      <w:proofErr w:type="spellStart"/>
      <w:r w:rsidRPr="00ED0C82">
        <w:rPr>
          <w:rFonts w:ascii="Arial" w:eastAsia="Arial" w:hAnsi="Arial" w:cs="Arial"/>
          <w:sz w:val="14"/>
          <w:lang w:eastAsia="zh-CN"/>
        </w:rPr>
        <w:t>Dr</w:t>
      </w:r>
      <w:proofErr w:type="spellEnd"/>
      <w:r w:rsidRPr="00ED0C82">
        <w:rPr>
          <w:rFonts w:ascii="Arial" w:eastAsia="Arial" w:hAnsi="Arial" w:cs="Arial"/>
          <w:sz w:val="14"/>
          <w:lang w:eastAsia="zh-CN"/>
        </w:rPr>
        <w:t xml:space="preserve"> Richard Tiong Heng Tan, MBBS, Grad Dip Acupuncture, Grad Dip Occupational Medicine, is a registered Family Physician and a Designated Workplace Doctor, currently works as a Principal Resident Physician in </w:t>
      </w:r>
      <w:proofErr w:type="spellStart"/>
      <w:r w:rsidRPr="00ED0C82">
        <w:rPr>
          <w:rFonts w:ascii="Arial" w:eastAsia="Arial" w:hAnsi="Arial" w:cs="Arial"/>
          <w:sz w:val="14"/>
          <w:lang w:eastAsia="zh-CN"/>
        </w:rPr>
        <w:t>Sengkang</w:t>
      </w:r>
      <w:proofErr w:type="spellEnd"/>
      <w:r w:rsidRPr="00ED0C82">
        <w:rPr>
          <w:rFonts w:ascii="Arial" w:eastAsia="Arial" w:hAnsi="Arial" w:cs="Arial"/>
          <w:sz w:val="14"/>
          <w:lang w:eastAsia="zh-CN"/>
        </w:rPr>
        <w:t xml:space="preserve"> Health at Alexandra Hospital in Singapore. He holds special interest in Acupuncture, Geriatric Medicine and Occupational Health. He has been offering acupuncture as a complementary treatment to patients mainly for chronic pain such as chronic pelvic pain, muscular skeletal pain as well as for stroke. He has published articles in local media, and presented in overseas conferences on acupuncture for chronic pelvic pain. He had spoken in various meetings in both public and medical forums on acupuncture.</w:t>
      </w:r>
    </w:p>
    <w:p w:rsidR="00AE3E37" w:rsidRDefault="00B03D0D" w:rsidP="00B03D0D">
      <w:pPr>
        <w:spacing w:before="62"/>
        <w:ind w:left="4217" w:right="3670"/>
        <w:jc w:val="center"/>
        <w:rPr>
          <w:rFonts w:ascii="Arial"/>
          <w:sz w:val="19"/>
        </w:rPr>
      </w:pPr>
      <w:r w:rsidRPr="006C5D97">
        <w:rPr>
          <w:rFonts w:ascii="Arial" w:hAnsi="Arial" w:cs="Arial"/>
          <w:sz w:val="14"/>
          <w:szCs w:val="14"/>
        </w:rPr>
        <w:t>Email:</w:t>
      </w:r>
      <w:r>
        <w:rPr>
          <w:rFonts w:ascii="Arial" w:hAnsi="Arial" w:cs="Arial"/>
          <w:sz w:val="14"/>
          <w:szCs w:val="14"/>
        </w:rPr>
        <w:t xml:space="preserve"> </w:t>
      </w:r>
      <w:hyperlink r:id="rId11" w:history="1">
        <w:r w:rsidRPr="006C5D97">
          <w:rPr>
            <w:rStyle w:val="Hyperlink"/>
            <w:rFonts w:ascii="Arial" w:hAnsi="Arial" w:cs="Arial"/>
            <w:sz w:val="14"/>
            <w:szCs w:val="14"/>
          </w:rPr>
          <w:t>richard.tan.t.h@skh.com.sg</w:t>
        </w:r>
      </w:hyperlink>
      <w:r w:rsidR="005C002C">
        <w:rPr>
          <w:noProof/>
          <w:lang w:eastAsia="zh-CN"/>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9BB25"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03D0D" w:rsidRDefault="00A9710C" w:rsidP="00B03D0D">
      <w:pPr>
        <w:spacing w:before="39"/>
        <w:ind w:left="100"/>
        <w:rPr>
          <w:rFonts w:ascii="Minion Pro"/>
          <w:b/>
          <w:sz w:val="20"/>
        </w:rPr>
        <w:sectPr w:rsidR="00AE3E37" w:rsidRPr="00B03D0D">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A06" w:rsidRDefault="00BB3A06">
      <w:r>
        <w:separator/>
      </w:r>
    </w:p>
  </w:endnote>
  <w:endnote w:type="continuationSeparator" w:id="0">
    <w:p w:rsidR="00BB3A06" w:rsidRDefault="00BB3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A06" w:rsidRDefault="00BB3A06">
      <w:r>
        <w:separator/>
      </w:r>
    </w:p>
  </w:footnote>
  <w:footnote w:type="continuationSeparator" w:id="0">
    <w:p w:rsidR="00BB3A06" w:rsidRDefault="00BB3A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6224"/>
    <w:rsid w:val="001263DF"/>
    <w:rsid w:val="001849E4"/>
    <w:rsid w:val="00292ED9"/>
    <w:rsid w:val="00404E5B"/>
    <w:rsid w:val="00414F7B"/>
    <w:rsid w:val="004355DC"/>
    <w:rsid w:val="004749B4"/>
    <w:rsid w:val="00494130"/>
    <w:rsid w:val="004F3523"/>
    <w:rsid w:val="005973B9"/>
    <w:rsid w:val="005B3A56"/>
    <w:rsid w:val="005C002C"/>
    <w:rsid w:val="006060CE"/>
    <w:rsid w:val="00611AC7"/>
    <w:rsid w:val="0063497F"/>
    <w:rsid w:val="0074379C"/>
    <w:rsid w:val="00873DF0"/>
    <w:rsid w:val="008756E6"/>
    <w:rsid w:val="009B2D44"/>
    <w:rsid w:val="00A07E82"/>
    <w:rsid w:val="00A9710C"/>
    <w:rsid w:val="00AE3E37"/>
    <w:rsid w:val="00B03D0D"/>
    <w:rsid w:val="00B21A57"/>
    <w:rsid w:val="00BB3A06"/>
    <w:rsid w:val="00C00BBA"/>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94DECD-AE4B-455F-A314-CAF4CD9DF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pPr>
      <w:widowControl w:val="0"/>
    </w:pPr>
    <w:rPr>
      <w:rFonts w:ascii="Tw Cen MT" w:eastAsia="Tw Cen MT" w:hAnsi="Tw Cen MT" w:cs="Tw Cen MT"/>
      <w:sz w:val="22"/>
      <w:szCs w:val="22"/>
      <w:lang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chard.tan.t.h@skh.com.sg"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4471</CharactersWithSpaces>
  <SharedDoc>false</SharedDoc>
  <HLinks>
    <vt:vector size="6" baseType="variant">
      <vt:variant>
        <vt:i4>1441842</vt:i4>
      </vt:variant>
      <vt:variant>
        <vt:i4>3</vt:i4>
      </vt:variant>
      <vt:variant>
        <vt:i4>0</vt:i4>
      </vt:variant>
      <vt:variant>
        <vt:i4>5</vt:i4>
      </vt:variant>
      <vt:variant>
        <vt:lpwstr>mailto:richard.tan.t.h@skh.com.sg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Richard Tan Tiong Heng</cp:lastModifiedBy>
  <cp:revision>4</cp:revision>
  <dcterms:created xsi:type="dcterms:W3CDTF">2017-01-22T01:48:00Z</dcterms:created>
  <dcterms:modified xsi:type="dcterms:W3CDTF">2017-01-22T02:06:00Z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