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6C3" w:rsidRDefault="00B416C3" w:rsidP="00B416C3">
      <w:pPr>
        <w:bidi w:val="0"/>
      </w:pPr>
      <w:r>
        <w:t>Abstract</w:t>
      </w:r>
    </w:p>
    <w:p w:rsidR="00B416C3" w:rsidRDefault="00B416C3" w:rsidP="00B416C3"/>
    <w:p w:rsidR="00B416C3" w:rsidRDefault="00B416C3" w:rsidP="00B416C3">
      <w:pPr>
        <w:jc w:val="right"/>
      </w:pPr>
      <w:bookmarkStart w:id="0" w:name="_GoBack"/>
      <w:r>
        <w:t>The immune system is a complex system able to recognize a wide variety of host agents, through different biological processes. For example, controlled changes in the redox state are able to start different pathways in immune cells and are involved in the killing of microbes. The generation and release of ROS in the form of an “oxidative burst” represent the pivotal mechanism by which phagocytic cells are able to destroy pathogens. On the other hand, impaired oxidative balance is also implicated in the pathogenesis of inflammatory complications, which may affect the function of many body systems. NADPH oxidase (NOX) plays a pivotal role in the production of ROS, and the defect of its different subunits leads to the development of chronic granulomatous disease (CGD). The defect of the different NOX subunits in CGD affects different organs. In this context, this review will be focused on the description of the effect of NOX2 deficiency in different body systems. Moreover, we will also focus our attention on the novel insight in the pathogenesis of immunodeficiency and inflammation-related manifestations and on the protective role of NOX2 deficiency against the development of atherosclerosis</w:t>
      </w:r>
      <w:r>
        <w:rPr>
          <w:rFonts w:cs="Arial"/>
          <w:rtl/>
        </w:rPr>
        <w:t>.</w:t>
      </w:r>
    </w:p>
    <w:p w:rsidR="00B416C3" w:rsidRDefault="00B416C3" w:rsidP="00B416C3">
      <w:pPr>
        <w:jc w:val="right"/>
      </w:pPr>
      <w:r>
        <w:rPr>
          <w:rFonts w:cs="Arial"/>
          <w:rtl/>
        </w:rPr>
        <w:t xml:space="preserve">1. </w:t>
      </w:r>
      <w:r>
        <w:t>Introduction</w:t>
      </w:r>
    </w:p>
    <w:p w:rsidR="00B416C3" w:rsidRDefault="00B416C3" w:rsidP="00B416C3">
      <w:pPr>
        <w:jc w:val="right"/>
      </w:pPr>
    </w:p>
    <w:p w:rsidR="00B416C3" w:rsidRDefault="00B416C3" w:rsidP="00B416C3">
      <w:pPr>
        <w:jc w:val="right"/>
      </w:pPr>
      <w:proofErr w:type="spellStart"/>
      <w:r>
        <w:t>Nicotinamide</w:t>
      </w:r>
      <w:proofErr w:type="spellEnd"/>
      <w:r>
        <w:t xml:space="preserve"> adenine dinucleotide phosphate (NAPDH) oxidase (NOX) is a </w:t>
      </w:r>
      <w:proofErr w:type="spellStart"/>
      <w:r>
        <w:t>multimeric</w:t>
      </w:r>
      <w:proofErr w:type="spellEnd"/>
      <w:r>
        <w:t xml:space="preserve"> complex composed of enzymes of the NOX family [1]. NOX2 is a </w:t>
      </w:r>
      <w:proofErr w:type="spellStart"/>
      <w:r>
        <w:t>transmembrane</w:t>
      </w:r>
      <w:proofErr w:type="spellEnd"/>
      <w:r>
        <w:t xml:space="preserve"> protein firstly identified in phagocytic cells (e.g., neutrophils, </w:t>
      </w:r>
      <w:proofErr w:type="spellStart"/>
      <w:r>
        <w:t>eosinophils</w:t>
      </w:r>
      <w:proofErr w:type="spellEnd"/>
      <w:r>
        <w:t xml:space="preserve">, and macrophages) [2] and dendritic cells [3–6]. It plays a crucial role in antimicrobial host </w:t>
      </w:r>
      <w:proofErr w:type="spellStart"/>
      <w:r>
        <w:t>defence</w:t>
      </w:r>
      <w:proofErr w:type="spellEnd"/>
      <w:r>
        <w:t xml:space="preserve"> and inflammation. NOX2 deficiency leads to the development of chronic granulomatous disease (CGD), a primary immunodeficiency characterized by life-threatening bacterial and fungal infections [7]. In addition to recurrent infections, patients with CGD also suffer from impaired inflammatory responses leading to the development of </w:t>
      </w:r>
      <w:proofErr w:type="spellStart"/>
      <w:r>
        <w:t>Crohn’s</w:t>
      </w:r>
      <w:proofErr w:type="spellEnd"/>
      <w:r>
        <w:t xml:space="preserve">-like inflammatory bowel disease (IBD) [8, 9] and other inflammatory complications [7, 10, 11]. Recently, increased reactive oxygen species- (ROS-) independent </w:t>
      </w:r>
      <w:proofErr w:type="spellStart"/>
      <w:r>
        <w:t>inflammasome</w:t>
      </w:r>
      <w:proofErr w:type="spellEnd"/>
      <w:r>
        <w:t xml:space="preserve"> activation and impaired autophagy, resulting in increased IL-1b release, have been shown in NOX2-deficient phagocytes [12, 13]. The treatment with the IL-1b receptor inhibitor (</w:t>
      </w:r>
      <w:proofErr w:type="spellStart"/>
      <w:r>
        <w:t>anakinra</w:t>
      </w:r>
      <w:proofErr w:type="spellEnd"/>
      <w:r>
        <w:t xml:space="preserve">) resulted in decreasing the activation of </w:t>
      </w:r>
      <w:proofErr w:type="spellStart"/>
      <w:r>
        <w:t>inflammasome</w:t>
      </w:r>
      <w:proofErr w:type="spellEnd"/>
      <w:r>
        <w:t xml:space="preserve"> and in restoring autophagy in mice with CGD in vitro and in vivo. While the treatment seems to exert the same effect in human cells in vitro, the treatment in vivo is associated with contrasting results in humans [14, 15]. </w:t>
      </w:r>
      <w:proofErr w:type="spellStart"/>
      <w:r>
        <w:t>Rapamycin</w:t>
      </w:r>
      <w:proofErr w:type="spellEnd"/>
      <w:r>
        <w:t xml:space="preserve">, a potent mammalian target of </w:t>
      </w:r>
      <w:proofErr w:type="spellStart"/>
      <w:r>
        <w:t>rapamycin</w:t>
      </w:r>
      <w:proofErr w:type="spellEnd"/>
      <w:r>
        <w:t xml:space="preserve"> (</w:t>
      </w:r>
      <w:proofErr w:type="spellStart"/>
      <w:r>
        <w:t>mTOR</w:t>
      </w:r>
      <w:proofErr w:type="spellEnd"/>
      <w:r>
        <w:t xml:space="preserve">) inhibitor and autophagy inducer, has been shown to be able to restore autophagy and to regulate </w:t>
      </w:r>
      <w:proofErr w:type="spellStart"/>
      <w:r>
        <w:t>inflammasome</w:t>
      </w:r>
      <w:proofErr w:type="spellEnd"/>
      <w:r>
        <w:t xml:space="preserve"> activation in patients with CGD, </w:t>
      </w:r>
      <w:proofErr w:type="spellStart"/>
      <w:r>
        <w:t>unravelling</w:t>
      </w:r>
      <w:proofErr w:type="spellEnd"/>
      <w:r>
        <w:t xml:space="preserve"> new therapeutic opportunities for the treatment of inflammatory manifestations in CGD [16, 17]. Apart from its well-characterized role in the phagocyte function, NOX2 seems to be also implicated in the function of other different organs. In fact, NOX2 is also expressed in endothelial cells [18], </w:t>
      </w:r>
      <w:proofErr w:type="spellStart"/>
      <w:r>
        <w:t>cardiomyocytes</w:t>
      </w:r>
      <w:proofErr w:type="spellEnd"/>
      <w:r>
        <w:t xml:space="preserve"> [19], hematopoietic stem cells (HSC) [20, 21], and platelets [22] and its </w:t>
      </w:r>
      <w:proofErr w:type="spellStart"/>
      <w:r>
        <w:t>upregulation</w:t>
      </w:r>
      <w:proofErr w:type="spellEnd"/>
      <w:r>
        <w:t xml:space="preserve"> has been shown to be involved in neurodegenerative disease [23], neoplasms [24], and cardiovascular diseases [25–28]. Recent studies suggest that NOX2 activation is also involved in the </w:t>
      </w:r>
      <w:r>
        <w:lastRenderedPageBreak/>
        <w:t>development of atherosclerosis. In patients with CGD and in heterozygous carriers, the reduction of the ROS production is associated with increased levels of flow-mediated artery dilatation, thus implying a lower risk of developing atherosclerotic manifestations [29–32</w:t>
      </w:r>
      <w:r>
        <w:rPr>
          <w:rFonts w:cs="Arial"/>
          <w:rtl/>
        </w:rPr>
        <w:t>].</w:t>
      </w:r>
    </w:p>
    <w:p w:rsidR="00B416C3" w:rsidRDefault="00B416C3" w:rsidP="00B416C3">
      <w:pPr>
        <w:jc w:val="right"/>
      </w:pPr>
    </w:p>
    <w:p w:rsidR="00B416C3" w:rsidRDefault="00B416C3" w:rsidP="00B416C3">
      <w:pPr>
        <w:jc w:val="right"/>
      </w:pPr>
      <w:r>
        <w:t xml:space="preserve">Other different NOX isoforms are implicated in diverse physiological functions, and they can be identified in numerous cell types [33]. Evidence suggest that NOX/DUOX enzymes are implicated in a number of biological processes including host </w:t>
      </w:r>
      <w:proofErr w:type="spellStart"/>
      <w:r>
        <w:t>defence</w:t>
      </w:r>
      <w:proofErr w:type="spellEnd"/>
      <w:r>
        <w:t>, regulation of the vascular tone, hormone synthesis, fertilization, cell proliferation and differentiation, and formation of the extracellular matrix [33, 34</w:t>
      </w:r>
      <w:r>
        <w:rPr>
          <w:rFonts w:cs="Arial"/>
          <w:rtl/>
        </w:rPr>
        <w:t>].</w:t>
      </w:r>
    </w:p>
    <w:p w:rsidR="00B416C3" w:rsidRDefault="00B416C3" w:rsidP="00B416C3">
      <w:pPr>
        <w:jc w:val="right"/>
      </w:pPr>
    </w:p>
    <w:p w:rsidR="009E70C2" w:rsidRDefault="00B416C3" w:rsidP="00B416C3">
      <w:pPr>
        <w:bidi w:val="0"/>
        <w:jc w:val="both"/>
        <w:rPr>
          <w:rFonts w:hint="cs"/>
        </w:rPr>
      </w:pPr>
      <w:r>
        <w:t>In this review, we will summarize the effect of NOX2 deficiency in different body systems, focusing our attention on the novel insight in the pathogenesis of immunodeficiency and inflammation-related manifestations and on the protective role of NOX2 deficiency against the development of atherosclerosis. We will also focus on the novel insight in the definition of the clinical phenotype in heterozygous and female carriers and on the efficacy of novel and traditional potential therapeutic approach. Moreover, we will summarize the role of other NOX/DUOX enzymes in the function of different body systems and in the development of disease in humans.</w:t>
      </w:r>
      <w:bookmarkEnd w:id="0"/>
    </w:p>
    <w:sectPr w:rsidR="009E70C2" w:rsidSect="00A37169">
      <w:pgSz w:w="12240" w:h="15840"/>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6C3"/>
    <w:rsid w:val="002C5184"/>
    <w:rsid w:val="00A37169"/>
    <w:rsid w:val="00B416C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Mahsa Rekabi</dc:creator>
  <cp:lastModifiedBy>Mahsa Rekabi</cp:lastModifiedBy>
  <cp:revision>1</cp:revision>
  <dcterms:created xsi:type="dcterms:W3CDTF">2018-11-22T08:19:00Z</dcterms:created>
  <dcterms:modified xsi:type="dcterms:W3CDTF">2018-11-22T08:22:00Z</dcterms:modified>
</cp:coreProperties>
</file>