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EB4A58" w:rsidRDefault="00B914D0" w:rsidP="00494130">
      <w:pPr>
        <w:pStyle w:val="1"/>
        <w:spacing w:before="170"/>
        <w:ind w:left="0"/>
        <w:rPr>
          <w:rFonts w:ascii="Calibri" w:eastAsiaTheme="minorEastAsia" w:hAnsi="Calibri" w:cs="Calibri"/>
          <w:lang w:eastAsia="zh-CN"/>
        </w:rPr>
      </w:pPr>
      <w:bookmarkStart w:id="0" w:name="_GoBack"/>
      <w:bookmarkEnd w:id="0"/>
      <w:r w:rsidRPr="00EB4A58">
        <w:rPr>
          <w:rFonts w:ascii="Calibri" w:eastAsiaTheme="minorEastAsia" w:hAnsi="Calibri" w:cs="Calibri"/>
          <w:lang w:eastAsia="zh-CN"/>
        </w:rPr>
        <w:t>The Mrgprx2 related pseudo-allergy was inhibited by several compounds</w:t>
      </w:r>
      <w:r w:rsidRPr="00EB4A58">
        <w:rPr>
          <w:rFonts w:ascii="Calibri" w:hAnsi="Calibri" w:cs="Calibri"/>
        </w:rPr>
        <w:t xml:space="preserve"> </w:t>
      </w:r>
      <w:r w:rsidRPr="00EB4A58">
        <w:rPr>
          <w:rFonts w:ascii="Calibri" w:eastAsiaTheme="minorEastAsia" w:hAnsi="Calibri" w:cs="Calibri"/>
          <w:lang w:eastAsia="zh-CN"/>
        </w:rPr>
        <w:t>from</w:t>
      </w:r>
      <w:r w:rsidRPr="00EB4A58">
        <w:rPr>
          <w:rFonts w:ascii="Calibri" w:hAnsi="Calibri" w:cs="Calibri"/>
        </w:rPr>
        <w:t xml:space="preserve"> traditional Chinese medicine </w:t>
      </w:r>
    </w:p>
    <w:p w:rsidR="00B914D0" w:rsidRPr="00EB4A58" w:rsidRDefault="00B914D0" w:rsidP="005973B9">
      <w:pPr>
        <w:pStyle w:val="a3"/>
        <w:spacing w:before="73" w:line="198" w:lineRule="exact"/>
        <w:ind w:left="100" w:right="5987"/>
        <w:rPr>
          <w:rFonts w:ascii="Arial" w:hAnsi="Arial" w:cs="Arial"/>
        </w:rPr>
      </w:pPr>
      <w:r w:rsidRPr="00EB4A58">
        <w:rPr>
          <w:rFonts w:ascii="Arial" w:hAnsi="Arial" w:cs="Arial"/>
        </w:rPr>
        <w:t>Nan Wang</w:t>
      </w:r>
      <w:r w:rsidR="005973B9" w:rsidRPr="00EB4A58">
        <w:rPr>
          <w:rFonts w:ascii="Arial" w:hAnsi="Arial" w:cs="Arial"/>
        </w:rPr>
        <w:t xml:space="preserve"> PhD, </w:t>
      </w:r>
      <w:r w:rsidRPr="00EB4A58">
        <w:rPr>
          <w:rFonts w:ascii="Arial" w:hAnsi="Arial" w:cs="Arial"/>
        </w:rPr>
        <w:t xml:space="preserve">School of Pharmacy, </w:t>
      </w:r>
    </w:p>
    <w:p w:rsidR="005973B9" w:rsidRPr="00EB4A58" w:rsidRDefault="00B914D0" w:rsidP="005973B9">
      <w:pPr>
        <w:pStyle w:val="a3"/>
        <w:spacing w:before="73" w:line="198" w:lineRule="exact"/>
        <w:ind w:left="100" w:right="5987"/>
        <w:rPr>
          <w:rFonts w:ascii="Arial" w:hAnsi="Arial" w:cs="Arial"/>
        </w:rPr>
      </w:pPr>
      <w:r w:rsidRPr="00EB4A58">
        <w:rPr>
          <w:rFonts w:ascii="Arial" w:hAnsi="Arial" w:cs="Arial"/>
        </w:rPr>
        <w:t>Xi’an Jiaotong University, Xi’an 710061,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914D0" w:rsidRDefault="00B914D0" w:rsidP="00B914D0">
      <w:pPr>
        <w:pStyle w:val="a3"/>
        <w:spacing w:before="90" w:line="280" w:lineRule="auto"/>
        <w:ind w:left="100"/>
        <w:jc w:val="both"/>
      </w:pPr>
      <w:r>
        <w:t>Pseudo-allergic reactions-adverse, non-immunologic, anaphylaxis-like sudden onset reactions mediated</w:t>
      </w:r>
    </w:p>
    <w:p w:rsidR="00B914D0" w:rsidRDefault="00B914D0" w:rsidP="00B914D0">
      <w:pPr>
        <w:pStyle w:val="a3"/>
        <w:spacing w:before="90" w:line="280" w:lineRule="auto"/>
        <w:ind w:left="100"/>
        <w:jc w:val="both"/>
      </w:pPr>
      <w:r>
        <w:t>through an IgE-independent pathway—are activated by various basic compounds and occur at least as</w:t>
      </w:r>
    </w:p>
    <w:p w:rsidR="00AE3E37" w:rsidRDefault="00B914D0" w:rsidP="00B914D0">
      <w:pPr>
        <w:pStyle w:val="a3"/>
        <w:spacing w:before="90" w:line="280" w:lineRule="auto"/>
        <w:ind w:left="100"/>
        <w:jc w:val="both"/>
      </w:pPr>
      <w:r>
        <w:t>frequently as  IgE-mediated  reactions  to  drugs.  A large  family of  G protein coupled receptors  (Mas-related genes; Mrgprs) is closely related to pseudo-allergies. However, few therapies can directly target</w:t>
      </w:r>
      <w:r>
        <w:rPr>
          <w:rFonts w:eastAsiaTheme="minorEastAsia" w:hint="eastAsia"/>
          <w:lang w:eastAsia="zh-CN"/>
        </w:rPr>
        <w:t xml:space="preserve"> </w:t>
      </w:r>
      <w:r>
        <w:t>pseudo-allergies and related Mrgprs.</w:t>
      </w:r>
      <w:r w:rsidR="00A9710C">
        <w:t xml:space="preserve"> </w:t>
      </w:r>
      <w:r>
        <w:t>Chinese herbal medicine has a long history in China and</w:t>
      </w:r>
      <w:r>
        <w:rPr>
          <w:rFonts w:eastAsiaTheme="minorEastAsia" w:hint="eastAsia"/>
          <w:lang w:eastAsia="zh-CN"/>
        </w:rPr>
        <w:t xml:space="preserve"> </w:t>
      </w:r>
      <w:r>
        <w:t>is still widely  used owing to its specific therapeutic effect,</w:t>
      </w:r>
      <w:r>
        <w:rPr>
          <w:rFonts w:eastAsiaTheme="minorEastAsia" w:hint="eastAsia"/>
          <w:lang w:eastAsia="zh-CN"/>
        </w:rPr>
        <w:t xml:space="preserve"> </w:t>
      </w:r>
      <w:r>
        <w:t>broad  indications,  safety,  and  convenience.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Cell membrane chromatography (CMC) is an effective new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method to directly screen and identify the target components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from a complex system, and has been widely used in recent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years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Cell membrane chromatography (CMC) is an effective new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method to directly screen and identify the target components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from a complex system, and has been widely used in recent</w:t>
      </w:r>
    </w:p>
    <w:p w:rsidR="00B914D0" w:rsidRPr="00B914D0" w:rsidRDefault="00B914D0" w:rsidP="00B914D0">
      <w:pPr>
        <w:widowControl/>
        <w:shd w:val="clear" w:color="auto" w:fill="FFFFFF"/>
        <w:spacing w:line="0" w:lineRule="auto"/>
        <w:rPr>
          <w:rFonts w:ascii="ff8" w:eastAsia="宋体" w:hAnsi="ff8" w:cs="宋体" w:hint="eastAsia"/>
          <w:color w:val="000000"/>
          <w:sz w:val="108"/>
          <w:szCs w:val="108"/>
          <w:lang w:eastAsia="zh-CN"/>
        </w:rPr>
      </w:pPr>
      <w:r w:rsidRPr="00B914D0">
        <w:rPr>
          <w:rFonts w:ascii="ff8" w:eastAsia="宋体" w:hAnsi="ff8" w:cs="宋体"/>
          <w:color w:val="000000"/>
          <w:sz w:val="108"/>
          <w:szCs w:val="108"/>
          <w:lang w:eastAsia="zh-CN"/>
        </w:rPr>
        <w:t>years</w:t>
      </w:r>
    </w:p>
    <w:p w:rsidR="001F2F6D" w:rsidRPr="001F2F6D" w:rsidRDefault="00B914D0" w:rsidP="001F2F6D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C</w:t>
      </w:r>
      <w:r>
        <w:rPr>
          <w:rFonts w:eastAsiaTheme="minorEastAsia"/>
          <w:lang w:eastAsia="zh-CN"/>
        </w:rPr>
        <w:t>ell membrane chromatography (CMC) is an effective new method to directly screen and identify the target components from a complex system, and has been widely used in recent years.</w:t>
      </w:r>
      <w:r w:rsidR="00D94A6C">
        <w:rPr>
          <w:rFonts w:eastAsiaTheme="minorEastAsia"/>
          <w:lang w:eastAsia="zh-CN"/>
        </w:rPr>
        <w:t xml:space="preserve"> </w:t>
      </w:r>
      <w:r w:rsidR="00D94A6C" w:rsidRPr="00D94A6C">
        <w:rPr>
          <w:rFonts w:eastAsiaTheme="minorEastAsia"/>
          <w:lang w:eastAsia="zh-CN"/>
        </w:rPr>
        <w:t>Isoliquiritigenin</w:t>
      </w:r>
      <w:r w:rsidR="001F2F6D">
        <w:rPr>
          <w:rFonts w:eastAsiaTheme="minorEastAsia"/>
          <w:lang w:eastAsia="zh-CN"/>
        </w:rPr>
        <w:t xml:space="preserve"> (ISO)</w:t>
      </w:r>
      <w:r w:rsidR="00D94A6C">
        <w:rPr>
          <w:rFonts w:eastAsiaTheme="minorEastAsia"/>
          <w:lang w:eastAsia="zh-CN"/>
        </w:rPr>
        <w:t xml:space="preserve"> and </w:t>
      </w:r>
      <w:r w:rsidR="00D94A6C" w:rsidRPr="00D94A6C">
        <w:rPr>
          <w:rFonts w:eastAsiaTheme="minorEastAsia"/>
          <w:lang w:eastAsia="zh-CN"/>
        </w:rPr>
        <w:t>Saikosaponin A</w:t>
      </w:r>
      <w:r w:rsidR="001F2F6D">
        <w:rPr>
          <w:rFonts w:eastAsiaTheme="minorEastAsia"/>
          <w:lang w:eastAsia="zh-CN"/>
        </w:rPr>
        <w:t xml:space="preserve"> (SSA)</w:t>
      </w:r>
      <w:r w:rsidR="00D94A6C">
        <w:rPr>
          <w:rFonts w:eastAsiaTheme="minorEastAsia"/>
          <w:lang w:eastAsia="zh-CN"/>
        </w:rPr>
        <w:t xml:space="preserve"> were screen from traditional Chinese medicine injection using a mast cell CMC </w:t>
      </w:r>
      <w:r w:rsidR="00D94A6C">
        <w:rPr>
          <w:rFonts w:eastAsiaTheme="minorEastAsia" w:hint="eastAsia"/>
          <w:lang w:eastAsia="zh-CN"/>
        </w:rPr>
        <w:t>system</w:t>
      </w:r>
      <w:r w:rsidR="00D94A6C">
        <w:rPr>
          <w:rFonts w:eastAsiaTheme="minorEastAsia"/>
          <w:lang w:eastAsia="zh-CN"/>
        </w:rPr>
        <w:t>.</w:t>
      </w:r>
      <w:r w:rsidR="001F2F6D">
        <w:rPr>
          <w:rFonts w:eastAsiaTheme="minorEastAsia"/>
          <w:lang w:eastAsia="zh-CN"/>
        </w:rPr>
        <w:t xml:space="preserve"> </w:t>
      </w:r>
      <w:r w:rsidR="001F2F6D" w:rsidRPr="001F2F6D">
        <w:rPr>
          <w:rFonts w:eastAsiaTheme="minorEastAsia"/>
          <w:lang w:eastAsia="zh-CN"/>
        </w:rPr>
        <w:t>We examined the effect of</w:t>
      </w:r>
    </w:p>
    <w:p w:rsidR="00B914D0" w:rsidRPr="00D94A6C" w:rsidRDefault="001F2F6D" w:rsidP="001F2F6D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 w:rsidRPr="001F2F6D">
        <w:rPr>
          <w:rFonts w:eastAsiaTheme="minorEastAsia"/>
          <w:lang w:eastAsia="zh-CN"/>
        </w:rPr>
        <w:t xml:space="preserve">SSA </w:t>
      </w:r>
      <w:r>
        <w:rPr>
          <w:rFonts w:eastAsiaTheme="minorEastAsia"/>
          <w:lang w:eastAsia="zh-CN"/>
        </w:rPr>
        <w:t xml:space="preserve">and ISO </w:t>
      </w:r>
      <w:r w:rsidRPr="001F2F6D">
        <w:rPr>
          <w:rFonts w:eastAsiaTheme="minorEastAsia"/>
          <w:lang w:eastAsia="zh-CN"/>
        </w:rPr>
        <w:t xml:space="preserve">on both IgE-independent and IgE-dependent responses using PCA </w:t>
      </w:r>
      <w:r>
        <w:rPr>
          <w:rFonts w:eastAsiaTheme="minorEastAsia"/>
          <w:lang w:eastAsia="zh-CN"/>
        </w:rPr>
        <w:t>and active systemic anaphylaxis</w:t>
      </w:r>
      <w:r>
        <w:rPr>
          <w:rFonts w:eastAsiaTheme="minorEastAsia" w:hint="eastAsia"/>
          <w:lang w:eastAsia="zh-CN"/>
        </w:rPr>
        <w:t xml:space="preserve"> </w:t>
      </w:r>
      <w:r w:rsidRPr="001F2F6D">
        <w:rPr>
          <w:rFonts w:eastAsiaTheme="minorEastAsia"/>
          <w:lang w:eastAsia="zh-CN"/>
        </w:rPr>
        <w:t>models, as well as in vitro-cultured mast cells. We also evaluated whether the</w:t>
      </w:r>
      <w:r>
        <w:rPr>
          <w:rFonts w:eastAsiaTheme="minorEastAsia"/>
          <w:lang w:eastAsia="zh-CN"/>
        </w:rPr>
        <w:t xml:space="preserve"> anti-allergy effect is related</w:t>
      </w:r>
      <w:r>
        <w:rPr>
          <w:rFonts w:eastAsiaTheme="minorEastAsia" w:hint="eastAsia"/>
          <w:lang w:eastAsia="zh-CN"/>
        </w:rPr>
        <w:t xml:space="preserve"> </w:t>
      </w:r>
      <w:r w:rsidRPr="001F2F6D">
        <w:rPr>
          <w:rFonts w:eastAsiaTheme="minorEastAsia"/>
          <w:lang w:eastAsia="zh-CN"/>
        </w:rPr>
        <w:t xml:space="preserve">to Mrgprs by using in vitro Mrgprx2-expressing HEK293 cells. </w:t>
      </w:r>
      <w:r>
        <w:rPr>
          <w:rFonts w:eastAsiaTheme="minorEastAsia"/>
          <w:lang w:eastAsia="zh-CN"/>
        </w:rPr>
        <w:t xml:space="preserve">Both </w:t>
      </w:r>
      <w:r w:rsidRPr="001F2F6D">
        <w:rPr>
          <w:rFonts w:eastAsiaTheme="minorEastAsia"/>
          <w:lang w:eastAsia="zh-CN"/>
        </w:rPr>
        <w:t xml:space="preserve">SSA </w:t>
      </w:r>
      <w:r>
        <w:rPr>
          <w:rFonts w:eastAsiaTheme="minorEastAsia"/>
          <w:lang w:eastAsia="zh-CN"/>
        </w:rPr>
        <w:t xml:space="preserve">and ISO </w:t>
      </w:r>
      <w:r w:rsidRPr="001F2F6D">
        <w:rPr>
          <w:rFonts w:eastAsiaTheme="minorEastAsia"/>
          <w:lang w:eastAsia="zh-CN"/>
        </w:rPr>
        <w:t xml:space="preserve">could also dose-dependently inhibit C48/80-induced Mrgprx2-expressing HEK293 cell activation. </w:t>
      </w:r>
      <w:r w:rsidR="002F582E" w:rsidRPr="002F582E">
        <w:rPr>
          <w:rFonts w:eastAsiaTheme="minorEastAsia"/>
          <w:lang w:eastAsia="zh-CN"/>
        </w:rPr>
        <w:t>This study provided a new sight on pseudo-allergy and its therapy</w:t>
      </w:r>
      <w:r w:rsidR="002F582E">
        <w:rPr>
          <w:rFonts w:eastAsiaTheme="minorEastAsia"/>
          <w:lang w:eastAsia="zh-CN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00109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w:drawing>
          <wp:inline distT="0" distB="0" distL="0" distR="0" wp14:anchorId="1FBC340B" wp14:editId="613C82F1">
            <wp:extent cx="3526300" cy="10235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33518" cy="102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5E3">
        <w:rPr>
          <w:noProof/>
          <w:lang w:eastAsia="zh-CN"/>
        </w:rPr>
        <w:t xml:space="preserve"> </w:t>
      </w:r>
      <w:r>
        <w:rPr>
          <w:noProof/>
          <w:lang w:eastAsia="zh-CN"/>
        </w:rPr>
        <w:t xml:space="preserve">Figure 1. The </w:t>
      </w:r>
      <w:r w:rsidRPr="00000109">
        <w:rPr>
          <w:noProof/>
          <w:lang w:eastAsia="zh-CN"/>
        </w:rPr>
        <w:t>sketch</w:t>
      </w:r>
      <w:r>
        <w:rPr>
          <w:noProof/>
          <w:lang w:eastAsia="zh-CN"/>
        </w:rPr>
        <w:t xml:space="preserve"> figure of the CMC screening system. </w:t>
      </w: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00109" w:rsidRDefault="00000109" w:rsidP="00000109">
      <w:pPr>
        <w:spacing w:line="204" w:lineRule="exact"/>
        <w:rPr>
          <w:rFonts w:ascii="Arial"/>
          <w:b/>
          <w:sz w:val="20"/>
        </w:rPr>
      </w:pPr>
    </w:p>
    <w:p w:rsidR="00000109" w:rsidRP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000109">
        <w:rPr>
          <w:rFonts w:ascii="Calibri" w:eastAsia="Calibri" w:hAnsi="Calibri" w:cs="Calibri"/>
          <w:sz w:val="18"/>
        </w:rPr>
        <w:t xml:space="preserve">[1] </w:t>
      </w:r>
      <w:r w:rsidRPr="00F27CA3">
        <w:rPr>
          <w:rFonts w:ascii="Calibri" w:eastAsia="Calibri" w:hAnsi="Calibri" w:cs="Calibri"/>
          <w:b/>
          <w:sz w:val="18"/>
        </w:rPr>
        <w:t>Nan Wang</w:t>
      </w:r>
      <w:r w:rsidRPr="00000109">
        <w:rPr>
          <w:rFonts w:ascii="Calibri" w:eastAsia="Calibri" w:hAnsi="Calibri" w:cs="Calibri"/>
          <w:sz w:val="18"/>
        </w:rPr>
        <w:t xml:space="preserve">, Xinzhong Dong*, Langchong He*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000109">
        <w:rPr>
          <w:rFonts w:ascii="Calibri" w:eastAsia="Calibri" w:hAnsi="Calibri" w:cs="Calibri"/>
          <w:sz w:val="18"/>
        </w:rPr>
        <w:t xml:space="preserve">. Saikosaponin A inhibits compound 48/80-induced pseudo-allergy via the Mrgprx2 pathway in vitro and in vivo. </w:t>
      </w:r>
      <w:r w:rsidRPr="00F27CA3">
        <w:rPr>
          <w:rFonts w:ascii="Calibri" w:eastAsia="Calibri" w:hAnsi="Calibri" w:cs="Calibri"/>
          <w:b/>
          <w:i/>
          <w:sz w:val="18"/>
          <w:u w:val="single"/>
        </w:rPr>
        <w:t>Biochemical Pharmacology</w:t>
      </w:r>
      <w:r w:rsidRPr="00000109">
        <w:rPr>
          <w:rFonts w:ascii="Calibri" w:eastAsia="Calibri" w:hAnsi="Calibri" w:cs="Calibri"/>
          <w:sz w:val="18"/>
        </w:rPr>
        <w:t>.</w:t>
      </w:r>
      <w:r w:rsidR="00F27CA3">
        <w:rPr>
          <w:rFonts w:ascii="Calibri" w:eastAsia="Calibri" w:hAnsi="Calibri" w:cs="Calibri"/>
          <w:sz w:val="18"/>
        </w:rPr>
        <w:t xml:space="preserve"> </w:t>
      </w:r>
      <w:r w:rsidRPr="00000109">
        <w:rPr>
          <w:rFonts w:ascii="Calibri" w:eastAsia="Calibri" w:hAnsi="Calibri" w:cs="Calibri"/>
          <w:sz w:val="18"/>
        </w:rPr>
        <w:t>2018; 148: 147-154.</w:t>
      </w:r>
    </w:p>
    <w:p w:rsidR="00000109" w:rsidRDefault="00F27CA3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[2]</w:t>
      </w:r>
      <w:r w:rsidR="00000109" w:rsidRPr="00000109">
        <w:rPr>
          <w:rFonts w:ascii="Calibri" w:eastAsia="Calibri" w:hAnsi="Calibri" w:cs="Calibri"/>
          <w:sz w:val="18"/>
        </w:rPr>
        <w:t xml:space="preserve">Delu Che, Jiao Cao, </w:t>
      </w:r>
      <w:r w:rsidR="00000109" w:rsidRPr="00F27CA3">
        <w:rPr>
          <w:rFonts w:ascii="Calibri" w:eastAsia="Calibri" w:hAnsi="Calibri" w:cs="Calibri"/>
          <w:b/>
          <w:sz w:val="18"/>
        </w:rPr>
        <w:t>Nan Wang*</w:t>
      </w:r>
      <w:r w:rsidR="00000109" w:rsidRPr="00000109">
        <w:rPr>
          <w:rFonts w:ascii="Calibri" w:eastAsia="Calibri" w:hAnsi="Calibri" w:cs="Calibri"/>
          <w:sz w:val="18"/>
        </w:rPr>
        <w:t xml:space="preserve"> etc. Harpagoside induced anaphylactic reaction in an IgE-independent manner both in vitro and in vivo.</w:t>
      </w:r>
      <w:r w:rsidR="00000109" w:rsidRPr="00F27CA3">
        <w:rPr>
          <w:rFonts w:ascii="Calibri" w:eastAsia="Calibri" w:hAnsi="Calibri" w:cs="Calibri"/>
          <w:b/>
          <w:i/>
          <w:sz w:val="18"/>
          <w:u w:val="single"/>
        </w:rPr>
        <w:t xml:space="preserve"> Immunopharmacology and Immunotoxicology.</w:t>
      </w:r>
      <w:r w:rsidR="00000109" w:rsidRPr="00000109">
        <w:rPr>
          <w:rFonts w:ascii="Calibri" w:eastAsia="Calibri" w:hAnsi="Calibri" w:cs="Calibri"/>
          <w:sz w:val="18"/>
        </w:rPr>
        <w:t xml:space="preserve"> </w:t>
      </w:r>
      <w:r w:rsidR="00000109">
        <w:rPr>
          <w:rFonts w:ascii="Calibri" w:eastAsia="Calibri" w:hAnsi="Calibri" w:cs="Calibri"/>
          <w:sz w:val="18"/>
        </w:rPr>
        <w:t xml:space="preserve"> 2018; 40</w:t>
      </w:r>
      <w:r w:rsidR="00000109">
        <w:rPr>
          <w:rFonts w:ascii="Calibri" w:eastAsiaTheme="minorEastAsia" w:hAnsi="Calibri" w:cs="Calibri" w:hint="eastAsia"/>
          <w:sz w:val="18"/>
          <w:lang w:eastAsia="zh-CN"/>
        </w:rPr>
        <w:t xml:space="preserve"> </w:t>
      </w:r>
      <w:r w:rsidR="00000109">
        <w:rPr>
          <w:rFonts w:ascii="Calibri" w:eastAsia="Calibri" w:hAnsi="Calibri" w:cs="Calibri"/>
          <w:sz w:val="18"/>
        </w:rPr>
        <w:t>(2)</w:t>
      </w:r>
      <w:r w:rsidR="00000109" w:rsidRPr="00000109">
        <w:rPr>
          <w:rFonts w:ascii="Calibri" w:eastAsia="Calibri" w:hAnsi="Calibri" w:cs="Calibri"/>
          <w:sz w:val="18"/>
        </w:rPr>
        <w:t>:173-178.</w:t>
      </w:r>
    </w:p>
    <w:p w:rsidR="00F27CA3" w:rsidRPr="00F27CA3" w:rsidRDefault="00F27CA3" w:rsidP="00F27CA3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[3] </w:t>
      </w:r>
      <w:r w:rsidRPr="00F27CA3">
        <w:rPr>
          <w:rFonts w:ascii="Calibri" w:eastAsia="Calibri" w:hAnsi="Calibri" w:cs="Calibri"/>
          <w:sz w:val="18"/>
        </w:rPr>
        <w:t xml:space="preserve">Yajing Hou, Delu Che, </w:t>
      </w:r>
      <w:r w:rsidRPr="00F27CA3">
        <w:rPr>
          <w:rFonts w:ascii="Calibri" w:eastAsia="Calibri" w:hAnsi="Calibri" w:cs="Calibri"/>
          <w:b/>
          <w:bCs/>
          <w:sz w:val="18"/>
          <w:u w:val="single"/>
        </w:rPr>
        <w:t>Nan Wang</w:t>
      </w:r>
      <w:r w:rsidRPr="00F27CA3">
        <w:rPr>
          <w:rFonts w:ascii="Calibri" w:eastAsia="Calibri" w:hAnsi="Calibri" w:cs="Calibri"/>
          <w:b/>
          <w:bCs/>
          <w:sz w:val="18"/>
        </w:rPr>
        <w:t>*</w:t>
      </w:r>
      <w:r w:rsidRPr="00F27CA3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iCs/>
          <w:sz w:val="18"/>
        </w:rPr>
        <w:t>etc</w:t>
      </w:r>
      <w:r w:rsidRPr="00F27CA3">
        <w:rPr>
          <w:rFonts w:ascii="Calibri" w:eastAsia="Calibri" w:hAnsi="Calibri" w:cs="Calibri"/>
          <w:sz w:val="18"/>
        </w:rPr>
        <w:t xml:space="preserve">. Anti-pseudo-allergy effect of isoliquiritigenin is MRGPRX2-dependent. </w:t>
      </w:r>
      <w:r w:rsidRPr="00F27CA3">
        <w:rPr>
          <w:rFonts w:ascii="Calibri" w:eastAsia="Calibri" w:hAnsi="Calibri" w:cs="Calibri"/>
          <w:b/>
          <w:bCs/>
          <w:i/>
          <w:iCs/>
          <w:sz w:val="18"/>
          <w:u w:val="single"/>
        </w:rPr>
        <w:t>Immunology Letters</w:t>
      </w:r>
      <w:r w:rsidRPr="00F27CA3">
        <w:rPr>
          <w:rFonts w:ascii="Calibri" w:eastAsia="Calibri" w:hAnsi="Calibri" w:cs="Calibri"/>
          <w:sz w:val="18"/>
        </w:rPr>
        <w:t>. 2018; 198: 52-59.</w:t>
      </w:r>
    </w:p>
    <w:p w:rsid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[</w:t>
      </w:r>
      <w:r w:rsidR="00F27CA3">
        <w:rPr>
          <w:rFonts w:ascii="Calibri" w:eastAsia="Calibri" w:hAnsi="Calibri" w:cs="Calibri"/>
          <w:sz w:val="18"/>
        </w:rPr>
        <w:t>4</w:t>
      </w:r>
      <w:r>
        <w:rPr>
          <w:rFonts w:ascii="Calibri" w:eastAsia="Calibri" w:hAnsi="Calibri" w:cs="Calibri"/>
          <w:sz w:val="18"/>
        </w:rPr>
        <w:t xml:space="preserve">] </w:t>
      </w:r>
      <w:r w:rsidRPr="00000109">
        <w:rPr>
          <w:rFonts w:ascii="Calibri" w:eastAsia="Calibri" w:hAnsi="Calibri" w:cs="Calibri"/>
          <w:sz w:val="18"/>
        </w:rPr>
        <w:t xml:space="preserve">Rui Liu, Jue Wang, </w:t>
      </w:r>
      <w:r w:rsidRPr="00F27CA3">
        <w:rPr>
          <w:rFonts w:ascii="Calibri" w:eastAsia="Calibri" w:hAnsi="Calibri" w:cs="Calibri"/>
          <w:b/>
          <w:sz w:val="18"/>
        </w:rPr>
        <w:t>Nan Wang*</w:t>
      </w:r>
      <w:r w:rsidRPr="00000109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000109">
        <w:rPr>
          <w:rFonts w:ascii="Calibri" w:eastAsia="Calibri" w:hAnsi="Calibri" w:cs="Calibri"/>
          <w:sz w:val="18"/>
        </w:rPr>
        <w:t xml:space="preserve">. Relationship between MRGPRX2 and pethidine hydrochloride- or fentanyl citrate-induced LAD2 cell degranulation. </w:t>
      </w:r>
      <w:r w:rsidRPr="00F27CA3">
        <w:rPr>
          <w:rFonts w:ascii="Calibri" w:eastAsia="Calibri" w:hAnsi="Calibri" w:cs="Calibri"/>
          <w:b/>
          <w:i/>
          <w:sz w:val="18"/>
          <w:u w:val="single"/>
        </w:rPr>
        <w:t>The Journal of pharmacy and pharmacology.</w:t>
      </w:r>
      <w:r w:rsidRPr="00000109">
        <w:rPr>
          <w:rFonts w:ascii="Calibri" w:eastAsia="Calibri" w:hAnsi="Calibri" w:cs="Calibri"/>
          <w:sz w:val="18"/>
        </w:rPr>
        <w:t xml:space="preserve"> 2018</w:t>
      </w:r>
      <w:r>
        <w:rPr>
          <w:rFonts w:ascii="Calibri" w:eastAsia="Calibri" w:hAnsi="Calibri" w:cs="Calibri"/>
          <w:sz w:val="18"/>
        </w:rPr>
        <w:t>.</w:t>
      </w:r>
      <w:r w:rsidRPr="00000109">
        <w:rPr>
          <w:rFonts w:ascii="Calibri" w:eastAsia="Calibri" w:hAnsi="Calibri" w:cs="Calibri"/>
          <w:sz w:val="18"/>
        </w:rPr>
        <w:t> </w:t>
      </w:r>
    </w:p>
    <w:p w:rsidR="00000109" w:rsidRP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[</w:t>
      </w:r>
      <w:r w:rsidR="00F27CA3">
        <w:rPr>
          <w:rFonts w:ascii="Calibri" w:eastAsia="Calibri" w:hAnsi="Calibri" w:cs="Calibri"/>
          <w:sz w:val="18"/>
        </w:rPr>
        <w:t>5</w:t>
      </w:r>
      <w:r>
        <w:rPr>
          <w:rFonts w:ascii="Calibri" w:eastAsia="Calibri" w:hAnsi="Calibri" w:cs="Calibri"/>
          <w:sz w:val="18"/>
        </w:rPr>
        <w:t xml:space="preserve">] </w:t>
      </w:r>
      <w:r w:rsidRPr="00F27CA3">
        <w:rPr>
          <w:rFonts w:ascii="Calibri" w:eastAsia="Calibri" w:hAnsi="Calibri" w:cs="Calibri"/>
          <w:b/>
          <w:sz w:val="18"/>
        </w:rPr>
        <w:t>Nan Wang,</w:t>
      </w:r>
      <w:r w:rsidRPr="00000109">
        <w:rPr>
          <w:rFonts w:ascii="Calibri" w:eastAsia="Calibri" w:hAnsi="Calibri" w:cs="Calibri"/>
          <w:sz w:val="18"/>
        </w:rPr>
        <w:t xml:space="preserve"> Delu Che, Yingnan Zeng,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000109">
        <w:rPr>
          <w:rFonts w:ascii="Calibri" w:eastAsia="Calibri" w:hAnsi="Calibri" w:cs="Calibri"/>
          <w:sz w:val="18"/>
        </w:rPr>
        <w:t xml:space="preserve">. The anti-inflammation effect of Baige capsule and its principal components mixture in MCAO rats. </w:t>
      </w:r>
      <w:r w:rsidRPr="00F27CA3">
        <w:rPr>
          <w:rFonts w:ascii="Calibri" w:eastAsia="Calibri" w:hAnsi="Calibri" w:cs="Calibri"/>
          <w:b/>
          <w:i/>
          <w:sz w:val="18"/>
          <w:u w:val="single"/>
        </w:rPr>
        <w:t>Immunopharmacology and Immunotoxicology.</w:t>
      </w:r>
      <w:r w:rsidRPr="00000109">
        <w:rPr>
          <w:rFonts w:ascii="Calibri" w:eastAsia="Calibri" w:hAnsi="Calibri" w:cs="Calibri"/>
          <w:sz w:val="18"/>
        </w:rPr>
        <w:t xml:space="preserve"> 2018</w:t>
      </w:r>
      <w:r>
        <w:rPr>
          <w:rFonts w:ascii="Calibri" w:eastAsia="Calibri" w:hAnsi="Calibri" w:cs="Calibri"/>
          <w:sz w:val="18"/>
        </w:rPr>
        <w:t>; 40 (4):</w:t>
      </w:r>
      <w:r w:rsidRPr="00000109">
        <w:rPr>
          <w:rFonts w:ascii="Calibri" w:eastAsia="Calibri" w:hAnsi="Calibri" w:cs="Calibri"/>
          <w:sz w:val="18"/>
        </w:rPr>
        <w:t xml:space="preserve"> 327-332</w:t>
      </w:r>
      <w:r>
        <w:rPr>
          <w:rFonts w:ascii="Calibri" w:eastAsia="Calibri" w:hAnsi="Calibri" w:cs="Calibri"/>
          <w:sz w:val="18"/>
        </w:rPr>
        <w:t>.</w:t>
      </w:r>
    </w:p>
    <w:p w:rsidR="00000109" w:rsidRP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000109">
        <w:rPr>
          <w:rFonts w:ascii="Calibri" w:eastAsia="Calibri" w:hAnsi="Calibri" w:cs="Calibri"/>
          <w:sz w:val="18"/>
        </w:rPr>
        <w:t>[</w:t>
      </w:r>
      <w:r w:rsidR="00F27CA3">
        <w:rPr>
          <w:rFonts w:ascii="Calibri" w:eastAsia="Calibri" w:hAnsi="Calibri" w:cs="Calibri"/>
          <w:sz w:val="18"/>
        </w:rPr>
        <w:t>6</w:t>
      </w:r>
      <w:r w:rsidRPr="00000109">
        <w:rPr>
          <w:rFonts w:ascii="Calibri" w:eastAsia="Calibri" w:hAnsi="Calibri" w:cs="Calibri"/>
          <w:sz w:val="18"/>
        </w:rPr>
        <w:t xml:space="preserve">] </w:t>
      </w:r>
      <w:r w:rsidRPr="00F27CA3">
        <w:rPr>
          <w:rFonts w:ascii="Calibri" w:eastAsia="Calibri" w:hAnsi="Calibri" w:cs="Calibri"/>
          <w:b/>
          <w:sz w:val="18"/>
        </w:rPr>
        <w:t>Nan Wang</w:t>
      </w:r>
      <w:r w:rsidR="00F27CA3" w:rsidRPr="00F27CA3"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Rui</w:t>
      </w:r>
      <w:r>
        <w:rPr>
          <w:rFonts w:ascii="Calibri" w:eastAsia="Calibri" w:hAnsi="Calibri" w:cs="Calibri"/>
          <w:sz w:val="18"/>
        </w:rPr>
        <w:t xml:space="preserve"> Liu,</w:t>
      </w:r>
      <w:r w:rsidRPr="00000109">
        <w:rPr>
          <w:rFonts w:ascii="Calibri" w:eastAsia="Calibri" w:hAnsi="Calibri" w:cs="Calibri"/>
          <w:sz w:val="18"/>
        </w:rPr>
        <w:t xml:space="preserve"> Cao Jiao etc. Sinomenine potentiates P815 cells degranulation via up-regulation Ca</w:t>
      </w:r>
      <w:r w:rsidRPr="00F27CA3">
        <w:rPr>
          <w:rFonts w:ascii="Calibri" w:eastAsia="Calibri" w:hAnsi="Calibri" w:cs="Calibri"/>
          <w:sz w:val="18"/>
          <w:vertAlign w:val="superscript"/>
        </w:rPr>
        <w:t>2+</w:t>
      </w:r>
      <w:r w:rsidRPr="00000109">
        <w:rPr>
          <w:rFonts w:ascii="Calibri" w:eastAsia="Calibri" w:hAnsi="Calibri" w:cs="Calibri"/>
          <w:sz w:val="18"/>
        </w:rPr>
        <w:t xml:space="preserve"> mobilization through Lyn/PLCγ/IP3R pathway. </w:t>
      </w:r>
      <w:r w:rsidRPr="00F27CA3">
        <w:rPr>
          <w:rFonts w:ascii="Calibri" w:eastAsia="Calibri" w:hAnsi="Calibri" w:cs="Calibri"/>
          <w:b/>
          <w:i/>
          <w:sz w:val="18"/>
          <w:u w:val="single"/>
        </w:rPr>
        <w:t>International Journal of Immunopathology and Pharmacology.</w:t>
      </w:r>
      <w:r w:rsidRPr="00000109">
        <w:rPr>
          <w:rFonts w:ascii="Calibri" w:eastAsia="Calibri" w:hAnsi="Calibri" w:cs="Calibri"/>
          <w:sz w:val="18"/>
        </w:rPr>
        <w:t xml:space="preserve"> 2016; 29(4): 676-683.</w:t>
      </w:r>
    </w:p>
    <w:p w:rsidR="00000109" w:rsidRP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000109">
        <w:rPr>
          <w:rFonts w:ascii="Calibri" w:eastAsia="Calibri" w:hAnsi="Calibri" w:cs="Calibri"/>
          <w:sz w:val="18"/>
        </w:rPr>
        <w:t>[</w:t>
      </w:r>
      <w:r w:rsidR="00F27CA3">
        <w:rPr>
          <w:rFonts w:ascii="Calibri" w:eastAsia="Calibri" w:hAnsi="Calibri" w:cs="Calibri"/>
          <w:sz w:val="18"/>
        </w:rPr>
        <w:t>7</w:t>
      </w:r>
      <w:r w:rsidRPr="00000109">
        <w:rPr>
          <w:rFonts w:ascii="Calibri" w:eastAsia="Calibri" w:hAnsi="Calibri" w:cs="Calibri"/>
          <w:sz w:val="18"/>
        </w:rPr>
        <w:t xml:space="preserve">] </w:t>
      </w:r>
      <w:r w:rsidRPr="00F27CA3">
        <w:rPr>
          <w:rFonts w:ascii="Calibri" w:eastAsia="Calibri" w:hAnsi="Calibri" w:cs="Calibri"/>
          <w:b/>
          <w:sz w:val="18"/>
        </w:rPr>
        <w:t>Nan Wang</w:t>
      </w:r>
      <w:r w:rsidR="00F27CA3"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Yanmin Zhang</w:t>
      </w:r>
      <w:r w:rsidR="00F27CA3"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Lei Wu</w:t>
      </w:r>
      <w:r w:rsidR="00F27CA3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000109">
        <w:rPr>
          <w:rFonts w:ascii="Calibri" w:eastAsia="Calibri" w:hAnsi="Calibri" w:cs="Calibri"/>
          <w:sz w:val="18"/>
        </w:rPr>
        <w:t xml:space="preserve">. Puerarin protected the brain from cerebral ischemia injury via astrocyte apoptosis inhibition. </w:t>
      </w:r>
      <w:r w:rsidRPr="00F27CA3">
        <w:rPr>
          <w:rFonts w:ascii="Calibri" w:eastAsia="Calibri" w:hAnsi="Calibri" w:cs="Calibri"/>
          <w:b/>
          <w:i/>
          <w:sz w:val="18"/>
          <w:u w:val="single"/>
        </w:rPr>
        <w:t>Neuropharmacology.</w:t>
      </w:r>
      <w:r w:rsidRPr="00000109">
        <w:rPr>
          <w:rFonts w:ascii="Calibri" w:eastAsia="Calibri" w:hAnsi="Calibri" w:cs="Calibri"/>
          <w:sz w:val="18"/>
        </w:rPr>
        <w:t xml:space="preserve"> 2014; 79: 282-289.</w:t>
      </w:r>
    </w:p>
    <w:p w:rsidR="00000109" w:rsidRP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000109">
        <w:rPr>
          <w:rFonts w:ascii="Calibri" w:eastAsia="Calibri" w:hAnsi="Calibri" w:cs="Calibri"/>
          <w:sz w:val="18"/>
        </w:rPr>
        <w:t>[</w:t>
      </w:r>
      <w:r w:rsidR="00F27CA3">
        <w:rPr>
          <w:rFonts w:ascii="Calibri" w:eastAsia="Calibri" w:hAnsi="Calibri" w:cs="Calibri"/>
          <w:sz w:val="18"/>
        </w:rPr>
        <w:t>8</w:t>
      </w:r>
      <w:r w:rsidRPr="00000109">
        <w:rPr>
          <w:rFonts w:ascii="Calibri" w:eastAsia="Calibri" w:hAnsi="Calibri" w:cs="Calibri"/>
          <w:sz w:val="18"/>
        </w:rPr>
        <w:t xml:space="preserve">] </w:t>
      </w:r>
      <w:r w:rsidRPr="00F27CA3">
        <w:rPr>
          <w:rFonts w:ascii="Calibri" w:eastAsia="Calibri" w:hAnsi="Calibri" w:cs="Calibri"/>
          <w:b/>
          <w:sz w:val="18"/>
        </w:rPr>
        <w:t>Nan Wang</w:t>
      </w:r>
      <w:r w:rsidR="00F27CA3"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Lei</w:t>
      </w:r>
      <w:r>
        <w:rPr>
          <w:rFonts w:ascii="Calibri" w:eastAsia="Calibri" w:hAnsi="Calibri" w:cs="Calibri"/>
          <w:sz w:val="18"/>
        </w:rPr>
        <w:t xml:space="preserve"> </w:t>
      </w:r>
      <w:r w:rsidRPr="00000109">
        <w:rPr>
          <w:rFonts w:ascii="Calibri" w:eastAsia="Calibri" w:hAnsi="Calibri" w:cs="Calibri"/>
          <w:sz w:val="18"/>
        </w:rPr>
        <w:t>Wu</w:t>
      </w:r>
      <w:r w:rsidR="00F27CA3"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Yanjun Cao</w:t>
      </w:r>
      <w:r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>etc</w:t>
      </w:r>
      <w:r w:rsidRPr="00000109">
        <w:rPr>
          <w:rFonts w:ascii="Calibri" w:eastAsia="Calibri" w:hAnsi="Calibri" w:cs="Calibri"/>
          <w:sz w:val="18"/>
        </w:rPr>
        <w:t xml:space="preserve">. The protective activity of imperatorin in cultured neural cells exposed to hypoxia reoxygenation injury via antiapoptosis. Fitoterapia. 2013; 90: 38-43. </w:t>
      </w:r>
    </w:p>
    <w:p w:rsidR="00AE3E37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000109">
        <w:rPr>
          <w:rFonts w:ascii="Calibri" w:eastAsia="Calibri" w:hAnsi="Calibri" w:cs="Calibri"/>
          <w:sz w:val="18"/>
        </w:rPr>
        <w:t>[</w:t>
      </w:r>
      <w:r w:rsidR="00F27CA3">
        <w:rPr>
          <w:rFonts w:ascii="Calibri" w:eastAsia="Calibri" w:hAnsi="Calibri" w:cs="Calibri"/>
          <w:sz w:val="18"/>
        </w:rPr>
        <w:t>9</w:t>
      </w:r>
      <w:r w:rsidRPr="00000109">
        <w:rPr>
          <w:rFonts w:ascii="Calibri" w:eastAsia="Calibri" w:hAnsi="Calibri" w:cs="Calibri"/>
          <w:sz w:val="18"/>
        </w:rPr>
        <w:t xml:space="preserve">] </w:t>
      </w:r>
      <w:r w:rsidRPr="00F27CA3">
        <w:rPr>
          <w:rFonts w:ascii="Calibri" w:eastAsia="Calibri" w:hAnsi="Calibri" w:cs="Calibri"/>
          <w:b/>
          <w:sz w:val="18"/>
        </w:rPr>
        <w:t>Nan Wang</w:t>
      </w:r>
      <w:r w:rsidR="00F27CA3">
        <w:rPr>
          <w:rFonts w:ascii="Calibri" w:eastAsia="Calibri" w:hAnsi="Calibri" w:cs="Calibri"/>
          <w:sz w:val="18"/>
        </w:rPr>
        <w:t xml:space="preserve">, </w:t>
      </w:r>
      <w:r w:rsidRPr="00000109">
        <w:rPr>
          <w:rFonts w:ascii="Calibri" w:eastAsia="Calibri" w:hAnsi="Calibri" w:cs="Calibri"/>
          <w:sz w:val="18"/>
        </w:rPr>
        <w:t>Lei Zheng</w:t>
      </w:r>
      <w:r w:rsidR="00F27CA3">
        <w:rPr>
          <w:rFonts w:ascii="Calibri" w:eastAsia="Calibri" w:hAnsi="Calibri" w:cs="Calibri"/>
          <w:sz w:val="18"/>
        </w:rPr>
        <w:t>,</w:t>
      </w:r>
      <w:r w:rsidRPr="00000109">
        <w:rPr>
          <w:rFonts w:ascii="Calibri" w:eastAsia="Calibri" w:hAnsi="Calibri" w:cs="Calibri"/>
          <w:sz w:val="18"/>
        </w:rPr>
        <w:t xml:space="preserve"> Yingzhuan Zhan</w:t>
      </w:r>
      <w:r w:rsidR="00F27CA3">
        <w:rPr>
          <w:rFonts w:ascii="Calibri" w:eastAsia="Calibri" w:hAnsi="Calibri" w:cs="Calibri"/>
          <w:sz w:val="18"/>
        </w:rPr>
        <w:t xml:space="preserve"> </w:t>
      </w:r>
      <w:r w:rsidRPr="00F27CA3">
        <w:rPr>
          <w:rFonts w:ascii="Calibri" w:eastAsia="Calibri" w:hAnsi="Calibri" w:cs="Calibri"/>
          <w:i/>
          <w:sz w:val="18"/>
        </w:rPr>
        <w:t xml:space="preserve"> etc</w:t>
      </w:r>
      <w:r w:rsidRPr="00000109">
        <w:rPr>
          <w:rFonts w:ascii="Calibri" w:eastAsia="Calibri" w:hAnsi="Calibri" w:cs="Calibri"/>
          <w:sz w:val="18"/>
        </w:rPr>
        <w:t xml:space="preserve">. A novel taspine derivative suppresses human liver tumor growth and invasion in vitro and in vivo. </w:t>
      </w:r>
      <w:r w:rsidRPr="00F27CA3">
        <w:rPr>
          <w:rFonts w:ascii="Calibri" w:eastAsia="Calibri" w:hAnsi="Calibri" w:cs="Calibri"/>
          <w:b/>
          <w:i/>
          <w:sz w:val="18"/>
          <w:u w:val="single"/>
        </w:rPr>
        <w:t>Oncology letters</w:t>
      </w:r>
      <w:r w:rsidRPr="00000109">
        <w:rPr>
          <w:rFonts w:ascii="Calibri" w:eastAsia="Calibri" w:hAnsi="Calibri" w:cs="Calibri"/>
          <w:sz w:val="18"/>
        </w:rPr>
        <w:t>; 2013; 6: 855-859.</w:t>
      </w:r>
    </w:p>
    <w:p w:rsid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</w:pPr>
    </w:p>
    <w:p w:rsidR="00000109" w:rsidRPr="00000109" w:rsidRDefault="00000109" w:rsidP="00000109">
      <w:pPr>
        <w:spacing w:line="200" w:lineRule="exact"/>
        <w:jc w:val="both"/>
        <w:rPr>
          <w:rFonts w:ascii="Calibri" w:eastAsia="Calibri" w:hAnsi="Calibri" w:cs="Calibri"/>
          <w:sz w:val="18"/>
        </w:rPr>
        <w:sectPr w:rsidR="00000109" w:rsidRPr="0000010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E74F4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3175" r="4445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014DD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BeKSNB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AE3E37" w:rsidRDefault="00C073CB" w:rsidP="00404E5B">
      <w:pPr>
        <w:spacing w:before="92"/>
        <w:ind w:right="4234"/>
        <w:rPr>
          <w:rFonts w:ascii="Arial"/>
        </w:rPr>
      </w:pPr>
      <w:r w:rsidRPr="00C073CB"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2085</wp:posOffset>
            </wp:positionH>
            <wp:positionV relativeFrom="paragraph">
              <wp:posOffset>61690</wp:posOffset>
            </wp:positionV>
            <wp:extent cx="606141" cy="606141"/>
            <wp:effectExtent l="0" t="0" r="0" b="0"/>
            <wp:wrapSquare wrapText="bothSides"/>
            <wp:docPr id="3" name="图片 3" descr="H:\出国\王楠签证等材料\签证面签\上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出国\王楠签证等材料\签证面签\上传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6141" cy="60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073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Nan Wang</w:t>
      </w:r>
      <w:r w:rsidR="006046C0">
        <w:rPr>
          <w:rFonts w:ascii="Arial"/>
          <w:sz w:val="14"/>
        </w:rPr>
        <w:t>. A</w:t>
      </w:r>
      <w:r w:rsidR="006046C0" w:rsidRPr="006046C0">
        <w:rPr>
          <w:rFonts w:ascii="Arial"/>
          <w:sz w:val="14"/>
        </w:rPr>
        <w:t>ssociate professor</w:t>
      </w:r>
      <w:r w:rsidR="00A9710C">
        <w:rPr>
          <w:rFonts w:ascii="Arial"/>
          <w:sz w:val="14"/>
        </w:rPr>
        <w:t xml:space="preserve"> </w:t>
      </w:r>
      <w:r w:rsidR="006046C0">
        <w:rPr>
          <w:rFonts w:ascii="Arial"/>
          <w:sz w:val="14"/>
        </w:rPr>
        <w:t>in Xi</w:t>
      </w:r>
      <w:r w:rsidR="006046C0">
        <w:rPr>
          <w:rFonts w:ascii="Arial"/>
          <w:sz w:val="14"/>
        </w:rPr>
        <w:t>’</w:t>
      </w:r>
      <w:r w:rsidR="006046C0">
        <w:rPr>
          <w:rFonts w:ascii="Arial"/>
          <w:sz w:val="14"/>
        </w:rPr>
        <w:t>an Jiaotong university. Dr. Na</w:t>
      </w:r>
      <w:r w:rsidR="006046C0">
        <w:rPr>
          <w:rFonts w:asciiTheme="minorEastAsia" w:eastAsiaTheme="minorEastAsia" w:hAnsiTheme="minorEastAsia" w:hint="eastAsia"/>
          <w:sz w:val="14"/>
          <w:lang w:eastAsia="zh-CN"/>
        </w:rPr>
        <w:t>n</w:t>
      </w:r>
      <w:r w:rsidR="006046C0">
        <w:rPr>
          <w:rFonts w:ascii="Arial"/>
          <w:sz w:val="14"/>
        </w:rPr>
        <w:t xml:space="preserve"> Wang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>allergic</w:t>
      </w:r>
      <w:r w:rsidRPr="00C073CB">
        <w:rPr>
          <w:rFonts w:ascii="Arial"/>
          <w:sz w:val="14"/>
        </w:rPr>
        <w:t xml:space="preserve"> disease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2060E1">
        <w:rPr>
          <w:rFonts w:ascii="Arial"/>
          <w:sz w:val="14"/>
        </w:rPr>
        <w:t xml:space="preserve"> anti-allergy drug discovery</w:t>
      </w:r>
      <w:r w:rsidR="00A9710C">
        <w:rPr>
          <w:rFonts w:ascii="Arial"/>
          <w:sz w:val="14"/>
        </w:rPr>
        <w:t xml:space="preserve">. </w:t>
      </w:r>
      <w:r w:rsidR="006046C0">
        <w:rPr>
          <w:rFonts w:ascii="Arial"/>
          <w:sz w:val="14"/>
        </w:rPr>
        <w:t xml:space="preserve">She currently focused on allergic asthma and mast cell related diseases.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060E1">
        <w:rPr>
          <w:rFonts w:ascii="Arial"/>
          <w:sz w:val="14"/>
        </w:rPr>
        <w:t>wangnan2014@xjtu.edu.cn</w:t>
      </w:r>
    </w:p>
    <w:p w:rsidR="00AE3E37" w:rsidRDefault="002E74F4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CC93B" id="Line 3" o:spid="_x0000_s1026" style="position:absolute;left:0;text-align:left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678" w:rsidRDefault="00D96678">
      <w:r>
        <w:separator/>
      </w:r>
    </w:p>
  </w:endnote>
  <w:endnote w:type="continuationSeparator" w:id="0">
    <w:p w:rsidR="00D96678" w:rsidRDefault="00D9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f8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E74F4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678" w:rsidRDefault="00D96678">
      <w:r>
        <w:separator/>
      </w:r>
    </w:p>
  </w:footnote>
  <w:footnote w:type="continuationSeparator" w:id="0">
    <w:p w:rsidR="00D96678" w:rsidRDefault="00D96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E74F4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109"/>
    <w:rsid w:val="000E2911"/>
    <w:rsid w:val="001263DF"/>
    <w:rsid w:val="001F2F6D"/>
    <w:rsid w:val="002060E1"/>
    <w:rsid w:val="00292ED9"/>
    <w:rsid w:val="002E74F4"/>
    <w:rsid w:val="002F582E"/>
    <w:rsid w:val="00354416"/>
    <w:rsid w:val="003A4B7A"/>
    <w:rsid w:val="00404E5B"/>
    <w:rsid w:val="00414F7B"/>
    <w:rsid w:val="004355DC"/>
    <w:rsid w:val="004749B4"/>
    <w:rsid w:val="00494130"/>
    <w:rsid w:val="004B302B"/>
    <w:rsid w:val="004F3523"/>
    <w:rsid w:val="005973B9"/>
    <w:rsid w:val="005B3A56"/>
    <w:rsid w:val="006046C0"/>
    <w:rsid w:val="006060CE"/>
    <w:rsid w:val="0063497F"/>
    <w:rsid w:val="006A327B"/>
    <w:rsid w:val="00724A5D"/>
    <w:rsid w:val="00873DF0"/>
    <w:rsid w:val="008756E6"/>
    <w:rsid w:val="009B2D44"/>
    <w:rsid w:val="00A07E82"/>
    <w:rsid w:val="00A33873"/>
    <w:rsid w:val="00A9710C"/>
    <w:rsid w:val="00AE3E37"/>
    <w:rsid w:val="00B21A57"/>
    <w:rsid w:val="00B24E86"/>
    <w:rsid w:val="00B914D0"/>
    <w:rsid w:val="00C073CB"/>
    <w:rsid w:val="00C33602"/>
    <w:rsid w:val="00CD6F55"/>
    <w:rsid w:val="00D94A6C"/>
    <w:rsid w:val="00D96678"/>
    <w:rsid w:val="00DE3104"/>
    <w:rsid w:val="00DF408E"/>
    <w:rsid w:val="00E30B37"/>
    <w:rsid w:val="00EB4A58"/>
    <w:rsid w:val="00F27CA3"/>
    <w:rsid w:val="00F445E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4A8FC7-1762-4430-82B5-8377368E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current-selection">
    <w:name w:val="current-selection"/>
    <w:basedOn w:val="a0"/>
    <w:rsid w:val="00B914D0"/>
  </w:style>
  <w:style w:type="character" w:customStyle="1" w:styleId="ad">
    <w:name w:val="_"/>
    <w:basedOn w:val="a0"/>
    <w:rsid w:val="00B91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5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用户</cp:lastModifiedBy>
  <cp:revision>2</cp:revision>
  <dcterms:created xsi:type="dcterms:W3CDTF">2018-10-10T10:16:00Z</dcterms:created>
  <dcterms:modified xsi:type="dcterms:W3CDTF">2018-10-10T10:16:00Z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