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bidi w:val="0"/>
        <w:ind w:left="0" w:right="0" w:firstLine="0"/>
        <w:jc w:val="left"/>
        <w:rPr>
          <w:rFonts w:ascii="Helvetica" w:cs="Helvetica" w:hAnsi="Helvetica" w:eastAsia="Helvetica"/>
          <w:color w:val="202020"/>
          <w:sz w:val="24"/>
          <w:szCs w:val="24"/>
          <w:shd w:val="clear" w:color="auto" w:fill="fefffe"/>
          <w:rtl w:val="0"/>
        </w:rPr>
      </w:pPr>
      <w:r>
        <w:rPr>
          <w:rFonts w:ascii="Helvetica" w:hAnsi="Helvetica"/>
          <w:color w:val="202020"/>
          <w:sz w:val="24"/>
          <w:szCs w:val="24"/>
          <w:shd w:val="clear" w:color="auto" w:fill="fefffe"/>
          <w:rtl w:val="0"/>
          <w:lang w:val="de-DE"/>
        </w:rPr>
        <w:t>THE USE OF 3D MODELS IN THE PRE-OPERATIVE EVALUATION OF THE TREATMENT OF THE FOOT SYNTHOSISM PIET</w:t>
      </w:r>
    </w:p>
    <w:p>
      <w:pPr>
        <w:pStyle w:val="Default"/>
        <w:bidi w:val="0"/>
        <w:ind w:left="0" w:right="0" w:firstLine="0"/>
        <w:jc w:val="left"/>
        <w:rPr>
          <w:rStyle w:val="Nessuno"/>
          <w:rFonts w:ascii="Helvetica" w:cs="Helvetica" w:hAnsi="Helvetica" w:eastAsia="Helvetica"/>
          <w:color w:val="202020"/>
          <w:sz w:val="24"/>
          <w:szCs w:val="24"/>
          <w:shd w:val="clear" w:color="auto" w:fill="fefffe"/>
          <w:rtl w:val="0"/>
        </w:rPr>
      </w:pPr>
    </w:p>
    <w:p>
      <w:pPr>
        <w:pStyle w:val="Default"/>
        <w:bidi w:val="0"/>
        <w:ind w:left="0" w:right="0" w:firstLine="0"/>
        <w:jc w:val="left"/>
        <w:rPr>
          <w:rFonts w:ascii="Helvetica" w:cs="Helvetica" w:hAnsi="Helvetica" w:eastAsia="Helvetica"/>
          <w:color w:val="202020"/>
          <w:sz w:val="24"/>
          <w:szCs w:val="24"/>
          <w:shd w:val="clear" w:color="auto" w:fill="fefffe"/>
          <w:rtl w:val="0"/>
        </w:rPr>
      </w:pPr>
      <w:r>
        <w:rPr>
          <w:rFonts w:ascii="Helvetica" w:hAnsi="Helvetica"/>
          <w:color w:val="202020"/>
          <w:sz w:val="24"/>
          <w:szCs w:val="24"/>
          <w:shd w:val="clear" w:color="auto" w:fill="fefffe"/>
          <w:rtl w:val="0"/>
          <w:lang w:val="it-IT"/>
        </w:rPr>
        <w:t xml:space="preserve">Stallone S, Maredi E, Trisolino G, Di Gennaro GL, </w:t>
      </w:r>
      <w:r>
        <w:rPr>
          <w:rFonts w:ascii="Helvetica" w:hAnsi="Helvetica"/>
          <w:color w:val="202020"/>
          <w:sz w:val="24"/>
          <w:szCs w:val="24"/>
          <w:shd w:val="clear" w:color="auto" w:fill="fefffe"/>
          <w:rtl w:val="0"/>
          <w:lang w:val="it-IT"/>
        </w:rPr>
        <w:t>Gallone</w:t>
      </w:r>
      <w:r>
        <w:rPr>
          <w:rFonts w:ascii="Helvetica" w:hAnsi="Helvetica"/>
          <w:color w:val="202020"/>
          <w:sz w:val="24"/>
          <w:szCs w:val="24"/>
          <w:shd w:val="clear" w:color="auto" w:fill="fefffe"/>
          <w:rtl w:val="0"/>
          <w:lang w:val="it-IT"/>
        </w:rPr>
        <w:t xml:space="preserve"> G, Zarantonello P, Stilli S</w:t>
      </w:r>
      <w:r>
        <w:rPr>
          <w:rFonts w:ascii="Helvetica" w:hAnsi="Helvetica"/>
          <w:color w:val="202020"/>
          <w:sz w:val="24"/>
          <w:szCs w:val="24"/>
          <w:shd w:val="clear" w:color="auto" w:fill="fefffe"/>
          <w:rtl w:val="0"/>
          <w:lang w:val="it-IT"/>
        </w:rPr>
        <w:t>, Osti F., Frizziero L.</w:t>
      </w:r>
    </w:p>
    <w:p>
      <w:pPr>
        <w:pStyle w:val="Default"/>
        <w:bidi w:val="0"/>
        <w:ind w:left="0" w:right="0" w:firstLine="0"/>
        <w:jc w:val="left"/>
        <w:rPr>
          <w:rStyle w:val="Nessuno"/>
          <w:rFonts w:ascii="Helvetica" w:cs="Helvetica" w:hAnsi="Helvetica" w:eastAsia="Helvetica"/>
          <w:color w:val="202020"/>
          <w:sz w:val="24"/>
          <w:szCs w:val="24"/>
          <w:shd w:val="clear" w:color="auto" w:fill="fefffe"/>
          <w:rtl w:val="0"/>
        </w:rPr>
      </w:pPr>
    </w:p>
    <w:p>
      <w:pPr>
        <w:pStyle w:val="Default"/>
        <w:bidi w:val="0"/>
        <w:ind w:left="0" w:right="0" w:firstLine="0"/>
        <w:jc w:val="left"/>
        <w:rPr>
          <w:rFonts w:ascii="Helvetica" w:cs="Helvetica" w:hAnsi="Helvetica" w:eastAsia="Helvetica"/>
          <w:color w:val="202020"/>
          <w:sz w:val="24"/>
          <w:szCs w:val="24"/>
          <w:shd w:val="clear" w:color="auto" w:fill="fefffe"/>
          <w:rtl w:val="0"/>
        </w:rPr>
      </w:pPr>
      <w:r>
        <w:rPr>
          <w:rFonts w:ascii="Helvetica" w:hAnsi="Helvetica"/>
          <w:color w:val="202020"/>
          <w:sz w:val="24"/>
          <w:szCs w:val="24"/>
          <w:shd w:val="clear" w:color="auto" w:fill="fefffe"/>
          <w:rtl w:val="0"/>
          <w:lang w:val="fr-FR"/>
        </w:rPr>
        <w:t>1. Introduction</w:t>
      </w:r>
    </w:p>
    <w:p>
      <w:pPr>
        <w:pStyle w:val="Default"/>
        <w:bidi w:val="0"/>
        <w:ind w:left="0" w:right="0" w:firstLine="0"/>
        <w:jc w:val="left"/>
        <w:rPr>
          <w:rStyle w:val="Nessuno"/>
          <w:rFonts w:ascii="Helvetica" w:cs="Helvetica" w:hAnsi="Helvetica" w:eastAsia="Helvetica"/>
          <w:color w:val="202020"/>
          <w:sz w:val="24"/>
          <w:szCs w:val="24"/>
          <w:shd w:val="clear" w:color="auto" w:fill="fefffe"/>
          <w:rtl w:val="0"/>
        </w:rPr>
      </w:pPr>
    </w:p>
    <w:p>
      <w:pPr>
        <w:pStyle w:val="Default"/>
        <w:bidi w:val="0"/>
        <w:ind w:left="0" w:right="0" w:firstLine="0"/>
        <w:jc w:val="left"/>
        <w:rPr>
          <w:rFonts w:ascii="Helvetica" w:cs="Helvetica" w:hAnsi="Helvetica" w:eastAsia="Helvetica"/>
          <w:color w:val="202020"/>
          <w:sz w:val="24"/>
          <w:szCs w:val="24"/>
          <w:shd w:val="clear" w:color="auto" w:fill="fefffe"/>
          <w:rtl w:val="0"/>
        </w:rPr>
      </w:pPr>
      <w:r>
        <w:rPr>
          <w:rFonts w:ascii="Helvetica" w:hAnsi="Helvetica"/>
          <w:color w:val="202020"/>
          <w:sz w:val="24"/>
          <w:szCs w:val="24"/>
          <w:shd w:val="clear" w:color="auto" w:fill="fefffe"/>
          <w:rtl w:val="0"/>
          <w:lang w:val="en-US"/>
        </w:rPr>
        <w:t xml:space="preserve">The flat foot is a complex multi-planar deformity from the leveling of the longitudinal plantar vault of the foot. It can be divided into flexible, the most common, and rigid. The flat foot is often caused by a tarsal synostosis: abnormal formation of bone, cartilage or fibrous tissue between two bones of the middle or </w:t>
      </w:r>
      <w:r>
        <w:rPr>
          <w:rFonts w:ascii="Helvetica" w:hAnsi="Helvetica"/>
          <w:color w:val="202020"/>
          <w:sz w:val="24"/>
          <w:szCs w:val="24"/>
          <w:shd w:val="clear" w:color="auto" w:fill="fefffe"/>
          <w:rtl w:val="0"/>
          <w:lang w:val="it-IT"/>
        </w:rPr>
        <w:t>hind</w:t>
      </w:r>
      <w:r>
        <w:rPr>
          <w:rFonts w:ascii="Helvetica" w:hAnsi="Helvetica"/>
          <w:color w:val="202020"/>
          <w:sz w:val="24"/>
          <w:szCs w:val="24"/>
          <w:shd w:val="clear" w:color="auto" w:fill="fefffe"/>
          <w:rtl w:val="0"/>
          <w:lang w:val="en-US"/>
        </w:rPr>
        <w:t>-foot. The clinic is dominated by pain and deformity, so often resorted to instrumental examinations such as CT and MRI for a diagnos</w:t>
      </w:r>
      <w:r>
        <w:rPr>
          <w:rFonts w:ascii="Helvetica" w:hAnsi="Helvetica"/>
          <w:color w:val="202020"/>
          <w:sz w:val="24"/>
          <w:szCs w:val="24"/>
          <w:shd w:val="clear" w:color="auto" w:fill="fefffe"/>
          <w:rtl w:val="0"/>
          <w:lang w:val="it-IT"/>
        </w:rPr>
        <w:t>is</w:t>
      </w:r>
      <w:r>
        <w:rPr>
          <w:rFonts w:ascii="Helvetica" w:hAnsi="Helvetica"/>
          <w:color w:val="202020"/>
          <w:sz w:val="24"/>
          <w:szCs w:val="24"/>
          <w:shd w:val="clear" w:color="auto" w:fill="fefffe"/>
          <w:rtl w:val="0"/>
          <w:lang w:val="en-US"/>
        </w:rPr>
        <w:t>. The treatment involves the resection of the synostosis, an interaction of allogeneic tissues, muscular flaps, adipose tissue, etc</w:t>
      </w:r>
      <w:r>
        <w:rPr>
          <w:rFonts w:ascii="Helvetica" w:hAnsi="Helvetica"/>
          <w:color w:val="202020"/>
          <w:sz w:val="24"/>
          <w:szCs w:val="24"/>
          <w:shd w:val="clear" w:color="auto" w:fill="fefffe"/>
          <w:rtl w:val="0"/>
          <w:lang w:val="it-IT"/>
        </w:rPr>
        <w:t xml:space="preserve"> in additino to the correction of flat foot deformity. </w:t>
      </w:r>
      <w:r>
        <w:rPr>
          <w:rFonts w:ascii="Helvetica" w:hAnsi="Helvetica"/>
          <w:color w:val="202020"/>
          <w:sz w:val="24"/>
          <w:szCs w:val="24"/>
          <w:shd w:val="clear" w:color="auto" w:fill="fefffe"/>
          <w:rtl w:val="0"/>
          <w:lang w:val="en-US"/>
        </w:rPr>
        <w:t>The purpose of this study is the comparison between a preoperative plan with 3D models</w:t>
      </w:r>
      <w:r>
        <w:rPr>
          <w:rFonts w:ascii="Helvetica" w:hAnsi="Helvetica"/>
          <w:color w:val="202020"/>
          <w:sz w:val="24"/>
          <w:szCs w:val="24"/>
          <w:shd w:val="clear" w:color="auto" w:fill="fefffe"/>
          <w:rtl w:val="0"/>
          <w:lang w:val="it-IT"/>
        </w:rPr>
        <w:t xml:space="preserve"> versus </w:t>
      </w:r>
      <w:r>
        <w:rPr>
          <w:rFonts w:ascii="Helvetica" w:hAnsi="Helvetica"/>
          <w:color w:val="202020"/>
          <w:sz w:val="24"/>
          <w:szCs w:val="24"/>
          <w:shd w:val="clear" w:color="auto" w:fill="fefffe"/>
          <w:rtl w:val="0"/>
          <w:lang w:val="en-US"/>
        </w:rPr>
        <w:t>a traditional planninng, with CT images.</w:t>
      </w:r>
    </w:p>
    <w:p>
      <w:pPr>
        <w:pStyle w:val="Default"/>
        <w:bidi w:val="0"/>
        <w:ind w:left="0" w:right="0" w:firstLine="0"/>
        <w:jc w:val="left"/>
        <w:rPr>
          <w:rFonts w:ascii="Helvetica" w:cs="Helvetica" w:hAnsi="Helvetica" w:eastAsia="Helvetica"/>
          <w:color w:val="202020"/>
          <w:sz w:val="24"/>
          <w:szCs w:val="24"/>
          <w:shd w:val="clear" w:color="auto" w:fill="fefffe"/>
          <w:rtl w:val="0"/>
        </w:rPr>
      </w:pPr>
    </w:p>
    <w:p>
      <w:pPr>
        <w:pStyle w:val="Default"/>
        <w:bidi w:val="0"/>
        <w:ind w:left="0" w:right="0" w:firstLine="0"/>
        <w:jc w:val="left"/>
        <w:rPr>
          <w:rFonts w:ascii="Helvetica" w:cs="Helvetica" w:hAnsi="Helvetica" w:eastAsia="Helvetica"/>
          <w:color w:val="202020"/>
          <w:sz w:val="24"/>
          <w:szCs w:val="24"/>
          <w:shd w:val="clear" w:color="auto" w:fill="fefffe"/>
          <w:rtl w:val="0"/>
        </w:rPr>
      </w:pPr>
      <w:r>
        <w:rPr>
          <w:rFonts w:ascii="Helvetica" w:hAnsi="Helvetica"/>
          <w:color w:val="202020"/>
          <w:sz w:val="24"/>
          <w:szCs w:val="24"/>
          <w:shd w:val="clear" w:color="auto" w:fill="fefffe"/>
          <w:rtl w:val="0"/>
          <w:lang w:val="en-US"/>
        </w:rPr>
        <w:t>2- Materials and Methods</w:t>
      </w:r>
    </w:p>
    <w:p>
      <w:pPr>
        <w:pStyle w:val="Default"/>
        <w:bidi w:val="0"/>
        <w:ind w:left="0" w:right="0" w:firstLine="0"/>
        <w:jc w:val="left"/>
        <w:rPr>
          <w:rStyle w:val="Nessuno"/>
          <w:rFonts w:ascii="Helvetica" w:cs="Helvetica" w:hAnsi="Helvetica" w:eastAsia="Helvetica"/>
          <w:color w:val="202020"/>
          <w:sz w:val="24"/>
          <w:szCs w:val="24"/>
          <w:shd w:val="clear" w:color="auto" w:fill="fefffe"/>
          <w:rtl w:val="0"/>
        </w:rPr>
      </w:pPr>
    </w:p>
    <w:p>
      <w:pPr>
        <w:pStyle w:val="Default"/>
        <w:bidi w:val="0"/>
        <w:ind w:left="0" w:right="0" w:firstLine="0"/>
        <w:jc w:val="left"/>
        <w:rPr>
          <w:rFonts w:ascii="Helvetica" w:cs="Helvetica" w:hAnsi="Helvetica" w:eastAsia="Helvetica"/>
          <w:color w:val="202020"/>
          <w:sz w:val="24"/>
          <w:szCs w:val="24"/>
          <w:shd w:val="clear" w:color="auto" w:fill="fefffe"/>
          <w:rtl w:val="0"/>
        </w:rPr>
      </w:pPr>
      <w:r>
        <w:rPr>
          <w:rFonts w:ascii="Helvetica" w:hAnsi="Helvetica"/>
          <w:color w:val="202020"/>
          <w:sz w:val="24"/>
          <w:szCs w:val="24"/>
          <w:shd w:val="clear" w:color="auto" w:fill="fefffe"/>
          <w:rtl w:val="0"/>
          <w:lang w:val="en-US"/>
        </w:rPr>
        <w:t>From 2016 to 2017, 62 feet affected by tarsal synostosis (43 patients, 21 f, 23m), both AC</w:t>
      </w:r>
      <w:r>
        <w:rPr>
          <w:rFonts w:ascii="Helvetica" w:hAnsi="Helvetica"/>
          <w:color w:val="202020"/>
          <w:sz w:val="24"/>
          <w:szCs w:val="24"/>
          <w:shd w:val="clear" w:color="auto" w:fill="fefffe"/>
          <w:rtl w:val="0"/>
          <w:lang w:val="it-IT"/>
        </w:rPr>
        <w:t xml:space="preserve"> (talus-calcaneo)</w:t>
      </w:r>
      <w:r>
        <w:rPr>
          <w:rFonts w:ascii="Helvetica" w:hAnsi="Helvetica"/>
          <w:color w:val="202020"/>
          <w:sz w:val="24"/>
          <w:szCs w:val="24"/>
          <w:shd w:val="clear" w:color="auto" w:fill="fefffe"/>
          <w:rtl w:val="0"/>
          <w:lang w:val="en-US"/>
        </w:rPr>
        <w:t xml:space="preserve"> and CN</w:t>
      </w:r>
      <w:r>
        <w:rPr>
          <w:rFonts w:ascii="Helvetica" w:hAnsi="Helvetica"/>
          <w:color w:val="202020"/>
          <w:sz w:val="24"/>
          <w:szCs w:val="24"/>
          <w:shd w:val="clear" w:color="auto" w:fill="fefffe"/>
          <w:rtl w:val="0"/>
          <w:lang w:val="it-IT"/>
        </w:rPr>
        <w:t xml:space="preserve"> (calcaneoxnavicular)</w:t>
      </w:r>
      <w:r>
        <w:rPr>
          <w:rFonts w:ascii="Helvetica" w:hAnsi="Helvetica"/>
          <w:color w:val="202020"/>
          <w:sz w:val="24"/>
          <w:szCs w:val="24"/>
          <w:shd w:val="clear" w:color="auto" w:fill="fefffe"/>
          <w:rtl w:val="0"/>
          <w:lang w:val="en-US"/>
        </w:rPr>
        <w:t xml:space="preserve"> were treated at our UO. Of these 61 feet, for 26 we required a 3D model to be able to study preoperatively, 2 of which to be used directly on the operative field, after sterilization. </w:t>
      </w:r>
      <w:r>
        <w:rPr>
          <w:rFonts w:ascii="Helvetica" w:hAnsi="Helvetica"/>
          <w:color w:val="202020"/>
          <w:sz w:val="24"/>
          <w:szCs w:val="24"/>
          <w:shd w:val="clear" w:color="auto" w:fill="fefffe"/>
          <w:rtl w:val="0"/>
          <w:lang w:val="it-IT"/>
        </w:rPr>
        <w:t xml:space="preserve">The </w:t>
      </w:r>
      <w:r>
        <w:rPr>
          <w:rFonts w:ascii="Helvetica" w:hAnsi="Helvetica"/>
          <w:color w:val="202020"/>
          <w:sz w:val="24"/>
          <w:szCs w:val="24"/>
          <w:shd w:val="clear" w:color="auto" w:fill="fefffe"/>
          <w:rtl w:val="0"/>
          <w:lang w:val="en-US"/>
        </w:rPr>
        <w:t>We evaluated and compared between the 2 groups, in patients who had at least 12 months of follow-up: operative time, intraoperative complications, extra-operative complications, pain and return to daily activity / sport</w:t>
      </w:r>
      <w:r>
        <w:rPr>
          <w:rFonts w:ascii="Helvetica" w:hAnsi="Helvetica"/>
          <w:color w:val="202020"/>
          <w:sz w:val="24"/>
          <w:szCs w:val="24"/>
          <w:shd w:val="clear" w:color="auto" w:fill="fefffe"/>
          <w:rtl w:val="0"/>
          <w:lang w:val="it-IT"/>
        </w:rPr>
        <w:t>, surgical time and</w:t>
      </w:r>
      <w:r>
        <w:rPr>
          <w:rFonts w:ascii="Helvetica" w:hAnsi="Helvetica"/>
          <w:color w:val="202020"/>
          <w:sz w:val="24"/>
          <w:szCs w:val="24"/>
          <w:shd w:val="clear" w:color="auto" w:fill="fefffe"/>
          <w:rtl w:val="0"/>
          <w:lang w:val="en-US"/>
        </w:rPr>
        <w:t xml:space="preserve"> satisfaction of the surgeon. Radiographically, the angles of flatness of the foot were measured, and the possible reformation of the excised synostosis was evaluated.</w:t>
      </w:r>
    </w:p>
    <w:p>
      <w:pPr>
        <w:pStyle w:val="Default"/>
        <w:bidi w:val="0"/>
        <w:ind w:left="0" w:right="0" w:firstLine="0"/>
        <w:jc w:val="left"/>
        <w:rPr>
          <w:rStyle w:val="Nessuno"/>
          <w:rFonts w:ascii="Helvetica" w:cs="Helvetica" w:hAnsi="Helvetica" w:eastAsia="Helvetica"/>
          <w:color w:val="202020"/>
          <w:sz w:val="24"/>
          <w:szCs w:val="24"/>
          <w:shd w:val="clear" w:color="auto" w:fill="fefffe"/>
          <w:rtl w:val="0"/>
        </w:rPr>
      </w:pPr>
    </w:p>
    <w:p>
      <w:pPr>
        <w:pStyle w:val="Default"/>
        <w:bidi w:val="0"/>
        <w:ind w:left="0" w:right="0" w:firstLine="0"/>
        <w:jc w:val="left"/>
        <w:rPr>
          <w:rFonts w:ascii="Helvetica" w:cs="Helvetica" w:hAnsi="Helvetica" w:eastAsia="Helvetica"/>
          <w:color w:val="202020"/>
          <w:sz w:val="24"/>
          <w:szCs w:val="24"/>
          <w:shd w:val="clear" w:color="auto" w:fill="fefffe"/>
          <w:rtl w:val="0"/>
        </w:rPr>
      </w:pPr>
      <w:r>
        <w:rPr>
          <w:rFonts w:ascii="Helvetica" w:hAnsi="Helvetica"/>
          <w:color w:val="202020"/>
          <w:sz w:val="24"/>
          <w:szCs w:val="24"/>
          <w:shd w:val="clear" w:color="auto" w:fill="fefffe"/>
          <w:rtl w:val="0"/>
        </w:rPr>
        <w:t>3- Results</w:t>
      </w:r>
    </w:p>
    <w:p>
      <w:pPr>
        <w:pStyle w:val="Default"/>
        <w:bidi w:val="0"/>
        <w:ind w:left="0" w:right="0" w:firstLine="0"/>
        <w:jc w:val="left"/>
        <w:rPr>
          <w:rStyle w:val="Nessuno"/>
          <w:rFonts w:ascii="Helvetica" w:cs="Helvetica" w:hAnsi="Helvetica" w:eastAsia="Helvetica"/>
          <w:color w:val="202020"/>
          <w:sz w:val="24"/>
          <w:szCs w:val="24"/>
          <w:shd w:val="clear" w:color="auto" w:fill="fefffe"/>
          <w:rtl w:val="0"/>
        </w:rPr>
      </w:pPr>
    </w:p>
    <w:p>
      <w:pPr>
        <w:pStyle w:val="Default"/>
        <w:bidi w:val="0"/>
        <w:ind w:left="0" w:right="0" w:firstLine="0"/>
        <w:jc w:val="left"/>
        <w:rPr>
          <w:rFonts w:ascii="Helvetica" w:cs="Helvetica" w:hAnsi="Helvetica" w:eastAsia="Helvetica"/>
          <w:color w:val="202020"/>
          <w:sz w:val="24"/>
          <w:szCs w:val="24"/>
          <w:shd w:val="clear" w:color="auto" w:fill="fefffe"/>
          <w:rtl w:val="0"/>
        </w:rPr>
      </w:pPr>
      <w:r>
        <w:rPr>
          <w:rFonts w:ascii="Helvetica" w:hAnsi="Helvetica"/>
          <w:color w:val="202020"/>
          <w:sz w:val="24"/>
          <w:szCs w:val="24"/>
          <w:shd w:val="clear" w:color="auto" w:fill="fefffe"/>
          <w:rtl w:val="0"/>
          <w:lang w:val="en-US"/>
        </w:rPr>
        <w:t xml:space="preserve">The obtained data, collected at a mean follow-up of 14 months (min 12, max 30), do not show an improvement of the clinical condition, expressed as pain (VAS without 3d: 9; VAS with 3d: 9) and recovery of sport activity (FADI / FAAM without 3d: 91%, with 3d: 89%). Also the extra-operative complications, such as infections, deformity in persistent flatness or breaking of the synthesis media, are unchanged in the two groups (without 3d: 2/36 - 5%, with 3d: 1/25 - 4%). An improvement was however obtained in the reduction of the operative time, with a decrease of 10min of intervention mean (without 3D: 55min of average, with 3D: 45 min of average) and of those that are intraoperative complications (without 3D: 8 %, with 3d: 3%), such as rupture of the sustentaculum such, resection of area greater than that of the synostosis, lesions of </w:t>
      </w:r>
      <w:r>
        <w:rPr>
          <w:rFonts w:ascii="Helvetica" w:hAnsi="Helvetica"/>
          <w:color w:val="202020"/>
          <w:sz w:val="24"/>
          <w:szCs w:val="24"/>
          <w:shd w:val="clear" w:color="auto" w:fill="fefffe"/>
          <w:rtl w:val="0"/>
          <w:lang w:val="it-IT"/>
        </w:rPr>
        <w:t>posterior</w:t>
      </w:r>
      <w:r>
        <w:rPr>
          <w:rFonts w:ascii="Helvetica" w:hAnsi="Helvetica"/>
          <w:color w:val="202020"/>
          <w:sz w:val="24"/>
          <w:szCs w:val="24"/>
          <w:shd w:val="clear" w:color="auto" w:fill="fefffe"/>
          <w:rtl w:val="0"/>
          <w:lang w:val="en-US"/>
        </w:rPr>
        <w:t xml:space="preserve"> bones and / or nearby joints. The satisfaction of the surgeon, assessed with specific Satisfactory Survey showed a clear satisfaction in the use of 3D models, thanks to which it was possible to isolate the synostosis in a shorter time and a more rapid resection of the same. In the larger follow-up cases, no reformation of synostosis was observed.</w:t>
      </w:r>
    </w:p>
    <w:p>
      <w:pPr>
        <w:pStyle w:val="Default"/>
        <w:bidi w:val="0"/>
        <w:ind w:left="0" w:right="0" w:firstLine="0"/>
        <w:jc w:val="left"/>
        <w:rPr>
          <w:rFonts w:ascii="Helvetica" w:cs="Helvetica" w:hAnsi="Helvetica" w:eastAsia="Helvetica"/>
          <w:color w:val="202020"/>
          <w:sz w:val="24"/>
          <w:szCs w:val="24"/>
          <w:shd w:val="clear" w:color="auto" w:fill="fefffe"/>
          <w:rtl w:val="0"/>
        </w:rPr>
      </w:pPr>
    </w:p>
    <w:p>
      <w:pPr>
        <w:pStyle w:val="Default"/>
        <w:bidi w:val="0"/>
        <w:ind w:left="0" w:right="0" w:firstLine="0"/>
        <w:jc w:val="left"/>
        <w:rPr>
          <w:rFonts w:ascii="Helvetica" w:cs="Helvetica" w:hAnsi="Helvetica" w:eastAsia="Helvetica"/>
          <w:color w:val="202020"/>
          <w:sz w:val="24"/>
          <w:szCs w:val="24"/>
          <w:shd w:val="clear" w:color="auto" w:fill="fefffe"/>
          <w:rtl w:val="0"/>
        </w:rPr>
      </w:pPr>
      <w:r>
        <w:rPr>
          <w:rFonts w:ascii="Helvetica" w:hAnsi="Helvetica"/>
          <w:color w:val="202020"/>
          <w:sz w:val="24"/>
          <w:szCs w:val="24"/>
          <w:shd w:val="clear" w:color="auto" w:fill="fefffe"/>
          <w:rtl w:val="0"/>
          <w:lang w:val="en-US"/>
        </w:rPr>
        <w:t>4- Discussion and conclusions</w:t>
      </w:r>
    </w:p>
    <w:p>
      <w:pPr>
        <w:pStyle w:val="Default"/>
        <w:bidi w:val="0"/>
        <w:ind w:left="0" w:right="0" w:firstLine="0"/>
        <w:jc w:val="left"/>
        <w:rPr>
          <w:rStyle w:val="Nessuno"/>
          <w:rFonts w:ascii="Helvetica" w:cs="Helvetica" w:hAnsi="Helvetica" w:eastAsia="Helvetica"/>
          <w:color w:val="202020"/>
          <w:sz w:val="24"/>
          <w:szCs w:val="24"/>
          <w:shd w:val="clear" w:color="auto" w:fill="fefffe"/>
          <w:rtl w:val="0"/>
        </w:rPr>
      </w:pPr>
    </w:p>
    <w:p>
      <w:pPr>
        <w:pStyle w:val="Default"/>
        <w:bidi w:val="0"/>
        <w:ind w:left="0" w:right="0" w:firstLine="0"/>
        <w:jc w:val="left"/>
        <w:rPr>
          <w:rtl w:val="0"/>
        </w:rPr>
      </w:pPr>
      <w:r>
        <w:rPr>
          <w:rFonts w:ascii="Helvetica" w:hAnsi="Helvetica"/>
          <w:color w:val="202020"/>
          <w:sz w:val="24"/>
          <w:szCs w:val="24"/>
          <w:shd w:val="clear" w:color="auto" w:fill="fefffe"/>
          <w:rtl w:val="0"/>
          <w:lang w:val="en-US"/>
        </w:rPr>
        <w:t>The flat synostotic foot has an incidence of 1% with a prevalence ranging from 11.5% to 13%, is therefore a rare disease, from the difficult clinical-diagnostic classification</w:t>
      </w:r>
      <w:r>
        <w:rPr>
          <w:rFonts w:ascii="Helvetica" w:hAnsi="Helvetica"/>
          <w:color w:val="202020"/>
          <w:sz w:val="24"/>
          <w:szCs w:val="24"/>
          <w:shd w:val="clear" w:color="auto" w:fill="fefffe"/>
          <w:rtl w:val="0"/>
          <w:lang w:val="it-IT"/>
        </w:rPr>
        <w:t xml:space="preserve">. The </w:t>
      </w:r>
      <w:r>
        <w:rPr>
          <w:rFonts w:ascii="Helvetica" w:hAnsi="Helvetica"/>
          <w:color w:val="202020"/>
          <w:sz w:val="24"/>
          <w:szCs w:val="24"/>
          <w:shd w:val="clear" w:color="auto" w:fill="fefffe"/>
          <w:rtl w:val="0"/>
          <w:lang w:val="en-US"/>
        </w:rPr>
        <w:t xml:space="preserve">treatment consists in the en-block resection </w:t>
      </w:r>
      <w:r>
        <w:rPr>
          <w:rFonts w:ascii="Helvetica" w:hAnsi="Helvetica"/>
          <w:color w:val="202020"/>
          <w:sz w:val="24"/>
          <w:szCs w:val="24"/>
          <w:shd w:val="clear" w:color="auto" w:fill="fefffe"/>
          <w:rtl w:val="0"/>
          <w:lang w:val="it-IT"/>
        </w:rPr>
        <w:t>of the abnormality</w:t>
      </w:r>
      <w:r>
        <w:rPr>
          <w:rFonts w:ascii="Helvetica" w:hAnsi="Helvetica"/>
          <w:color w:val="202020"/>
          <w:sz w:val="24"/>
          <w:szCs w:val="24"/>
          <w:shd w:val="clear" w:color="auto" w:fill="fefffe"/>
          <w:rtl w:val="0"/>
          <w:lang w:val="en-US"/>
        </w:rPr>
        <w:t xml:space="preserve">. The possibility of different points of view, obtainable with the multiplanar images of TC eRMN, becomes </w:t>
      </w:r>
      <w:r>
        <w:rPr>
          <w:rFonts w:ascii="Helvetica" w:hAnsi="Helvetica"/>
          <w:color w:val="202020"/>
          <w:sz w:val="24"/>
          <w:szCs w:val="24"/>
          <w:shd w:val="clear" w:color="auto" w:fill="fefffe"/>
          <w:rtl w:val="0"/>
          <w:lang w:val="it-IT"/>
        </w:rPr>
        <w:t>central</w:t>
      </w:r>
      <w:r>
        <w:rPr>
          <w:rFonts w:ascii="Helvetica" w:hAnsi="Helvetica"/>
          <w:color w:val="202020"/>
          <w:sz w:val="24"/>
          <w:szCs w:val="24"/>
          <w:shd w:val="clear" w:color="auto" w:fill="fefffe"/>
          <w:rtl w:val="0"/>
          <w:lang w:val="en-US"/>
        </w:rPr>
        <w:t xml:space="preserve"> in the evaluation of deformities and of the surrounding neurovascular structures. The creation of 3D models </w:t>
      </w:r>
      <w:r>
        <w:rPr>
          <w:rFonts w:ascii="Helvetica" w:hAnsi="Helvetica"/>
          <w:color w:val="202020"/>
          <w:sz w:val="24"/>
          <w:szCs w:val="24"/>
          <w:shd w:val="clear" w:color="auto" w:fill="fefffe"/>
          <w:rtl w:val="0"/>
          <w:lang w:val="it-IT"/>
        </w:rPr>
        <w:t>(scale1:1)</w:t>
      </w:r>
      <w:r>
        <w:rPr>
          <w:rFonts w:ascii="Helvetica" w:hAnsi="Helvetica"/>
          <w:color w:val="202020"/>
          <w:sz w:val="24"/>
          <w:szCs w:val="24"/>
          <w:shd w:val="clear" w:color="auto" w:fill="fefffe"/>
          <w:rtl w:val="0"/>
          <w:lang w:val="en-US"/>
        </w:rPr>
        <w:t>of the pathology is decisive in the planning of a better surgical strategy for the patient, in the calculation of the size of the synostosis and in the implementation of specific cutting guides for the patient. All this translates into a shorter surgical and infectious risk of the patient, with also good signs of satisfaction of the surgeon.</w:t>
      </w:r>
      <w:r>
        <w:rPr>
          <w:rFonts w:ascii="Helvetica" w:cs="Helvetica" w:hAnsi="Helvetica" w:eastAsia="Helvetica"/>
          <w:color w:val="202020"/>
          <w:sz w:val="24"/>
          <w:szCs w:val="24"/>
          <w:shd w:val="clear" w:color="auto" w:fill="fefffe"/>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de-DE"/>
    </w:rPr>
  </w:style>
  <w:style w:type="character" w:styleId="Nessuno">
    <w:name w:val="Nessuno"/>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